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63E0" w:rsidRPr="00995F23" w:rsidRDefault="003D63E0" w:rsidP="003D63E0">
      <w:pPr>
        <w:spacing w:after="0" w:line="240" w:lineRule="auto"/>
        <w:jc w:val="center"/>
        <w:rPr>
          <w:rFonts w:ascii="Tahoma" w:eastAsia="Times New Roman" w:hAnsi="Tahoma" w:cs="Tahoma"/>
          <w:color w:val="0065A3"/>
          <w:sz w:val="24"/>
          <w:szCs w:val="24"/>
          <w:lang w:val="uk-UA" w:eastAsia="ru-RU"/>
        </w:rPr>
      </w:pPr>
      <w:r w:rsidRPr="00995F23">
        <w:rPr>
          <w:rFonts w:ascii="Tahoma" w:eastAsia="Times New Roman" w:hAnsi="Tahoma" w:cs="Tahoma"/>
          <w:color w:val="0065A3"/>
          <w:sz w:val="24"/>
          <w:szCs w:val="24"/>
          <w:lang w:val="uk-UA" w:eastAsia="ru-RU"/>
        </w:rPr>
        <w:t>Регулярна інформація за 2017 рік</w:t>
      </w:r>
    </w:p>
    <w:tbl>
      <w:tblPr>
        <w:tblW w:w="15090" w:type="dxa"/>
        <w:tblCellMar>
          <w:left w:w="0" w:type="dxa"/>
          <w:right w:w="0" w:type="dxa"/>
        </w:tblCellMar>
        <w:tblLook w:val="04A0"/>
      </w:tblPr>
      <w:tblGrid>
        <w:gridCol w:w="2301"/>
        <w:gridCol w:w="12789"/>
      </w:tblGrid>
      <w:tr w:rsidR="003D63E0" w:rsidRPr="00995F23" w:rsidTr="003D63E0">
        <w:trPr>
          <w:trHeight w:val="615"/>
        </w:trPr>
        <w:tc>
          <w:tcPr>
            <w:tcW w:w="0" w:type="auto"/>
            <w:shd w:val="clear" w:color="auto" w:fill="0065A3"/>
            <w:tcMar>
              <w:top w:w="0" w:type="dxa"/>
              <w:left w:w="300" w:type="dxa"/>
              <w:bottom w:w="0" w:type="dxa"/>
              <w:right w:w="300" w:type="dxa"/>
            </w:tcMar>
            <w:vAlign w:val="center"/>
            <w:hideMark/>
          </w:tcPr>
          <w:p w:rsidR="003D63E0" w:rsidRPr="00995F23" w:rsidRDefault="003D63E0" w:rsidP="003D63E0">
            <w:pPr>
              <w:spacing w:after="0" w:line="240" w:lineRule="auto"/>
              <w:jc w:val="center"/>
              <w:rPr>
                <w:rFonts w:ascii="Times New Roman" w:eastAsia="Times New Roman" w:hAnsi="Times New Roman" w:cs="Times New Roman"/>
                <w:color w:val="FFFFFF"/>
                <w:sz w:val="18"/>
                <w:szCs w:val="18"/>
                <w:lang w:val="uk-UA" w:eastAsia="ru-RU"/>
              </w:rPr>
            </w:pPr>
            <w:r w:rsidRPr="00995F23">
              <w:rPr>
                <w:rFonts w:ascii="Times New Roman" w:eastAsia="Times New Roman" w:hAnsi="Times New Roman" w:cs="Times New Roman"/>
                <w:color w:val="FFFFFF"/>
                <w:sz w:val="18"/>
                <w:szCs w:val="18"/>
                <w:lang w:val="uk-UA" w:eastAsia="ru-RU"/>
              </w:rPr>
              <w:t>Назва:</w:t>
            </w:r>
          </w:p>
        </w:tc>
        <w:tc>
          <w:tcPr>
            <w:tcW w:w="0" w:type="auto"/>
            <w:shd w:val="clear" w:color="auto" w:fill="DEF0F5"/>
            <w:tcMar>
              <w:top w:w="0" w:type="dxa"/>
              <w:left w:w="300" w:type="dxa"/>
              <w:bottom w:w="0" w:type="dxa"/>
              <w:right w:w="0" w:type="dxa"/>
            </w:tcMar>
            <w:vAlign w:val="center"/>
            <w:hideMark/>
          </w:tcPr>
          <w:p w:rsidR="003D63E0" w:rsidRPr="00995F23" w:rsidRDefault="003D63E0" w:rsidP="003D63E0">
            <w:pPr>
              <w:spacing w:after="0" w:line="240" w:lineRule="auto"/>
              <w:rPr>
                <w:rFonts w:ascii="Times New Roman" w:eastAsia="Times New Roman" w:hAnsi="Times New Roman" w:cs="Times New Roman"/>
                <w:sz w:val="18"/>
                <w:szCs w:val="18"/>
                <w:lang w:val="uk-UA" w:eastAsia="ru-RU"/>
              </w:rPr>
            </w:pPr>
            <w:r w:rsidRPr="00995F23">
              <w:rPr>
                <w:rFonts w:ascii="Times New Roman" w:eastAsia="Times New Roman" w:hAnsi="Times New Roman" w:cs="Times New Roman"/>
                <w:sz w:val="18"/>
                <w:szCs w:val="18"/>
                <w:lang w:val="uk-UA" w:eastAsia="ru-RU"/>
              </w:rPr>
              <w:t>ПУБЛІЧНЕ АКЦ</w:t>
            </w:r>
            <w:r w:rsidR="00995F23" w:rsidRPr="00995F23">
              <w:rPr>
                <w:rFonts w:ascii="Times New Roman" w:eastAsia="Times New Roman" w:hAnsi="Times New Roman" w:cs="Times New Roman"/>
                <w:sz w:val="18"/>
                <w:szCs w:val="18"/>
                <w:lang w:val="uk-UA" w:eastAsia="ru-RU"/>
              </w:rPr>
              <w:t>І</w:t>
            </w:r>
            <w:r w:rsidRPr="00995F23">
              <w:rPr>
                <w:rFonts w:ascii="Times New Roman" w:eastAsia="Times New Roman" w:hAnsi="Times New Roman" w:cs="Times New Roman"/>
                <w:sz w:val="18"/>
                <w:szCs w:val="18"/>
                <w:lang w:val="uk-UA" w:eastAsia="ru-RU"/>
              </w:rPr>
              <w:t>ОНЕРНЕ ТОВАРИСТВО "ДН</w:t>
            </w:r>
            <w:r w:rsidR="00995F23" w:rsidRPr="00995F23">
              <w:rPr>
                <w:rFonts w:ascii="Times New Roman" w:eastAsia="Times New Roman" w:hAnsi="Times New Roman" w:cs="Times New Roman"/>
                <w:sz w:val="18"/>
                <w:szCs w:val="18"/>
                <w:lang w:val="uk-UA" w:eastAsia="ru-RU"/>
              </w:rPr>
              <w:t>ІПРОПЕТРОВСЬКИЙ АГРЕГАТНИЙ ЗАВОД</w:t>
            </w:r>
            <w:r w:rsidRPr="00995F23">
              <w:rPr>
                <w:rFonts w:ascii="Times New Roman" w:eastAsia="Times New Roman" w:hAnsi="Times New Roman" w:cs="Times New Roman"/>
                <w:sz w:val="18"/>
                <w:szCs w:val="18"/>
                <w:lang w:val="uk-UA" w:eastAsia="ru-RU"/>
              </w:rPr>
              <w:t>"</w:t>
            </w:r>
          </w:p>
        </w:tc>
      </w:tr>
      <w:tr w:rsidR="003D63E0" w:rsidRPr="00995F23" w:rsidTr="003D63E0">
        <w:trPr>
          <w:trHeight w:val="615"/>
        </w:trPr>
        <w:tc>
          <w:tcPr>
            <w:tcW w:w="0" w:type="auto"/>
            <w:shd w:val="clear" w:color="auto" w:fill="0065A3"/>
            <w:tcMar>
              <w:top w:w="0" w:type="dxa"/>
              <w:left w:w="300" w:type="dxa"/>
              <w:bottom w:w="0" w:type="dxa"/>
              <w:right w:w="300" w:type="dxa"/>
            </w:tcMar>
            <w:vAlign w:val="center"/>
            <w:hideMark/>
          </w:tcPr>
          <w:p w:rsidR="003D63E0" w:rsidRPr="00995F23" w:rsidRDefault="003D63E0" w:rsidP="003D63E0">
            <w:pPr>
              <w:spacing w:after="0" w:line="240" w:lineRule="auto"/>
              <w:jc w:val="center"/>
              <w:rPr>
                <w:rFonts w:ascii="Times New Roman" w:eastAsia="Times New Roman" w:hAnsi="Times New Roman" w:cs="Times New Roman"/>
                <w:color w:val="FFFFFF"/>
                <w:sz w:val="18"/>
                <w:szCs w:val="18"/>
                <w:lang w:val="uk-UA" w:eastAsia="ru-RU"/>
              </w:rPr>
            </w:pPr>
            <w:r w:rsidRPr="00995F23">
              <w:rPr>
                <w:rFonts w:ascii="Times New Roman" w:eastAsia="Times New Roman" w:hAnsi="Times New Roman" w:cs="Times New Roman"/>
                <w:color w:val="FFFFFF"/>
                <w:sz w:val="18"/>
                <w:szCs w:val="18"/>
                <w:lang w:val="uk-UA" w:eastAsia="ru-RU"/>
              </w:rPr>
              <w:t>ЄДРПОУ:</w:t>
            </w:r>
          </w:p>
        </w:tc>
        <w:tc>
          <w:tcPr>
            <w:tcW w:w="0" w:type="auto"/>
            <w:tcMar>
              <w:top w:w="0" w:type="dxa"/>
              <w:left w:w="300" w:type="dxa"/>
              <w:bottom w:w="0" w:type="dxa"/>
              <w:right w:w="0" w:type="dxa"/>
            </w:tcMar>
            <w:vAlign w:val="center"/>
            <w:hideMark/>
          </w:tcPr>
          <w:p w:rsidR="003D63E0" w:rsidRPr="00995F23" w:rsidRDefault="003D63E0" w:rsidP="003D63E0">
            <w:pPr>
              <w:spacing w:after="0" w:line="240" w:lineRule="auto"/>
              <w:rPr>
                <w:rFonts w:ascii="Times New Roman" w:eastAsia="Times New Roman" w:hAnsi="Times New Roman" w:cs="Times New Roman"/>
                <w:sz w:val="18"/>
                <w:szCs w:val="18"/>
                <w:lang w:val="uk-UA" w:eastAsia="ru-RU"/>
              </w:rPr>
            </w:pPr>
            <w:r w:rsidRPr="00995F23">
              <w:rPr>
                <w:rFonts w:ascii="Times New Roman" w:eastAsia="Times New Roman" w:hAnsi="Times New Roman" w:cs="Times New Roman"/>
                <w:sz w:val="18"/>
                <w:szCs w:val="18"/>
                <w:lang w:val="uk-UA" w:eastAsia="ru-RU"/>
              </w:rPr>
              <w:t>14311614</w:t>
            </w:r>
          </w:p>
        </w:tc>
      </w:tr>
      <w:tr w:rsidR="003D63E0" w:rsidRPr="00995F23" w:rsidTr="003D63E0">
        <w:trPr>
          <w:trHeight w:val="615"/>
        </w:trPr>
        <w:tc>
          <w:tcPr>
            <w:tcW w:w="0" w:type="auto"/>
            <w:shd w:val="clear" w:color="auto" w:fill="0065A3"/>
            <w:tcMar>
              <w:top w:w="0" w:type="dxa"/>
              <w:left w:w="300" w:type="dxa"/>
              <w:bottom w:w="0" w:type="dxa"/>
              <w:right w:w="300" w:type="dxa"/>
            </w:tcMar>
            <w:vAlign w:val="center"/>
            <w:hideMark/>
          </w:tcPr>
          <w:p w:rsidR="003D63E0" w:rsidRPr="00995F23" w:rsidRDefault="003D63E0" w:rsidP="003D63E0">
            <w:pPr>
              <w:spacing w:after="0" w:line="240" w:lineRule="auto"/>
              <w:jc w:val="center"/>
              <w:rPr>
                <w:rFonts w:ascii="Times New Roman" w:eastAsia="Times New Roman" w:hAnsi="Times New Roman" w:cs="Times New Roman"/>
                <w:color w:val="FFFFFF"/>
                <w:sz w:val="18"/>
                <w:szCs w:val="18"/>
                <w:lang w:val="uk-UA" w:eastAsia="ru-RU"/>
              </w:rPr>
            </w:pPr>
            <w:r w:rsidRPr="00995F23">
              <w:rPr>
                <w:rFonts w:ascii="Times New Roman" w:eastAsia="Times New Roman" w:hAnsi="Times New Roman" w:cs="Times New Roman"/>
                <w:color w:val="FFFFFF"/>
                <w:sz w:val="18"/>
                <w:szCs w:val="18"/>
                <w:lang w:val="uk-UA" w:eastAsia="ru-RU"/>
              </w:rPr>
              <w:t>Рік:</w:t>
            </w:r>
          </w:p>
        </w:tc>
        <w:tc>
          <w:tcPr>
            <w:tcW w:w="0" w:type="auto"/>
            <w:shd w:val="clear" w:color="auto" w:fill="DEF0F5"/>
            <w:tcMar>
              <w:top w:w="0" w:type="dxa"/>
              <w:left w:w="300" w:type="dxa"/>
              <w:bottom w:w="0" w:type="dxa"/>
              <w:right w:w="0" w:type="dxa"/>
            </w:tcMar>
            <w:vAlign w:val="center"/>
            <w:hideMark/>
          </w:tcPr>
          <w:p w:rsidR="003D63E0" w:rsidRPr="00995F23" w:rsidRDefault="003D63E0" w:rsidP="003D63E0">
            <w:pPr>
              <w:spacing w:after="0" w:line="240" w:lineRule="auto"/>
              <w:rPr>
                <w:rFonts w:ascii="Times New Roman" w:eastAsia="Times New Roman" w:hAnsi="Times New Roman" w:cs="Times New Roman"/>
                <w:sz w:val="18"/>
                <w:szCs w:val="18"/>
                <w:lang w:val="uk-UA" w:eastAsia="ru-RU"/>
              </w:rPr>
            </w:pPr>
            <w:r w:rsidRPr="00995F23">
              <w:rPr>
                <w:rFonts w:ascii="Times New Roman" w:eastAsia="Times New Roman" w:hAnsi="Times New Roman" w:cs="Times New Roman"/>
                <w:sz w:val="18"/>
                <w:szCs w:val="18"/>
                <w:lang w:val="uk-UA" w:eastAsia="ru-RU"/>
              </w:rPr>
              <w:t>2017</w:t>
            </w:r>
          </w:p>
        </w:tc>
      </w:tr>
    </w:tbl>
    <w:p w:rsidR="003D63E0" w:rsidRPr="00995F23" w:rsidRDefault="003D63E0" w:rsidP="003D63E0">
      <w:pPr>
        <w:spacing w:after="0" w:line="240" w:lineRule="auto"/>
        <w:jc w:val="center"/>
        <w:outlineLvl w:val="0"/>
        <w:rPr>
          <w:rFonts w:ascii="Tahoma" w:eastAsia="Times New Roman" w:hAnsi="Tahoma" w:cs="Tahoma"/>
          <w:b/>
          <w:bCs/>
          <w:color w:val="0065A3"/>
          <w:kern w:val="36"/>
          <w:sz w:val="24"/>
          <w:szCs w:val="24"/>
          <w:lang w:val="uk-UA" w:eastAsia="ru-RU"/>
        </w:rPr>
      </w:pPr>
      <w:r w:rsidRPr="00995F23">
        <w:rPr>
          <w:rFonts w:ascii="Tahoma" w:eastAsia="Times New Roman" w:hAnsi="Tahoma" w:cs="Tahoma"/>
          <w:b/>
          <w:bCs/>
          <w:color w:val="0065A3"/>
          <w:kern w:val="36"/>
          <w:sz w:val="24"/>
          <w:szCs w:val="24"/>
          <w:lang w:val="uk-UA" w:eastAsia="ru-RU"/>
        </w:rPr>
        <w:t>Опис бізнесу</w:t>
      </w:r>
    </w:p>
    <w:p w:rsidR="003D63E0" w:rsidRPr="00995F23" w:rsidRDefault="003D63E0" w:rsidP="003D63E0">
      <w:pPr>
        <w:spacing w:after="0" w:line="240" w:lineRule="auto"/>
        <w:rPr>
          <w:rFonts w:ascii="Tahoma" w:eastAsia="Times New Roman" w:hAnsi="Tahoma" w:cs="Tahoma"/>
          <w:color w:val="757575"/>
          <w:sz w:val="21"/>
          <w:szCs w:val="21"/>
          <w:lang w:val="uk-UA" w:eastAsia="ru-RU"/>
        </w:rPr>
      </w:pPr>
    </w:p>
    <w:tbl>
      <w:tblPr>
        <w:tblW w:w="15075" w:type="dxa"/>
        <w:tblBorders>
          <w:top w:val="single" w:sz="6" w:space="0" w:color="C5C5C5"/>
          <w:left w:val="single" w:sz="6" w:space="0" w:color="C5C5C5"/>
          <w:bottom w:val="single" w:sz="6" w:space="0" w:color="C5C5C5"/>
          <w:right w:val="single" w:sz="6" w:space="0" w:color="C5C5C5"/>
        </w:tblBorders>
        <w:tblCellMar>
          <w:left w:w="0" w:type="dxa"/>
          <w:right w:w="0" w:type="dxa"/>
        </w:tblCellMar>
        <w:tblLook w:val="04A0"/>
      </w:tblPr>
      <w:tblGrid>
        <w:gridCol w:w="15075"/>
      </w:tblGrid>
      <w:tr w:rsidR="003D63E0" w:rsidRPr="00995F23" w:rsidTr="00946C74">
        <w:trPr>
          <w:trHeight w:val="315"/>
        </w:trPr>
        <w:tc>
          <w:tcPr>
            <w:tcW w:w="900" w:type="dxa"/>
            <w:tcBorders>
              <w:top w:val="nil"/>
              <w:left w:val="nil"/>
              <w:bottom w:val="nil"/>
              <w:right w:val="nil"/>
            </w:tcBorders>
            <w:tcMar>
              <w:top w:w="75" w:type="dxa"/>
              <w:left w:w="150" w:type="dxa"/>
              <w:bottom w:w="75" w:type="dxa"/>
              <w:right w:w="150" w:type="dxa"/>
            </w:tcMar>
            <w:vAlign w:val="center"/>
            <w:hideMark/>
          </w:tcPr>
          <w:p w:rsidR="003D63E0" w:rsidRPr="00995F23" w:rsidRDefault="003D63E0" w:rsidP="003D63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180" w:lineRule="atLeast"/>
              <w:jc w:val="both"/>
              <w:rPr>
                <w:rFonts w:ascii="Times New Roman" w:eastAsia="Times New Roman" w:hAnsi="Times New Roman" w:cs="Times New Roman"/>
                <w:color w:val="0065A3"/>
                <w:sz w:val="17"/>
                <w:szCs w:val="17"/>
                <w:lang w:val="uk-UA" w:eastAsia="ru-RU"/>
              </w:rPr>
            </w:pPr>
            <w:r w:rsidRPr="00995F23">
              <w:rPr>
                <w:rFonts w:ascii="Times New Roman" w:eastAsia="Times New Roman" w:hAnsi="Times New Roman" w:cs="Times New Roman"/>
                <w:color w:val="0065A3"/>
                <w:sz w:val="17"/>
                <w:szCs w:val="17"/>
                <w:lang w:val="uk-UA" w:eastAsia="ru-RU"/>
              </w:rPr>
              <w:t>АТ "ДАЗ" веде св</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й родов</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 з 1926-1927 років. З 1940 року п</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дприємство п</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дпорядковано Наркомату (у подальшому - М</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стерству) ав</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ац</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йної промисловост</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СРСР. З 1945 року п</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дприємство формується й розвивається як виробник ав</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ац</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йних агрегат</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в та промислових товар</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в народного споживання. На п</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дприємств</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освоєно виробництво та розпочато сер</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йний випуск широкої номенклатури центроб</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жних (ЕЦН, ДЦН) ав</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ац</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йних насос</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в, електроприводу до них (двигун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в пост</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йного та зм</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нного струму), побутових електропилосос</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в та вентилятор</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в. Створен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та розвиваються в</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дпов</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виробнич</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потужност</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виробнича та соц</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альна </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нфраструктура. З 1966 року на п</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дприємств</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розпочинається виробництво як</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сно нових, техн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чно складних та в</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дпов</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дальних вироб</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в - прециз</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йних аксіально-плунжерних ав</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ац</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йних насос</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в (НП), регулятор</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в тиску (РД), </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нших агрегат</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в висого тиску. Одночасно впроваджується автоматизована система управл</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ння виробництвом на баз</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великих ЕОМ (у подальшому переведена на ПК), комплексна система управл</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ння як</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стю продукц</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ї, стимулюється рух за п</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двищення продуктивност</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прац</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на кожному робочому м</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сц</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Найвищих виробничих показник</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в п</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дприємство досягає наприк</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нц</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80-х рок</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в минулого стол</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ття, коли на завод</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було зайнято близько 10 тис.прац</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вник</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в, без агрегат</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в Дн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пропетровського виробництва не зл</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тав жоден л</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тальний апарат, виготовлений у СРСР, а виготовлен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на завод</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побутов</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електропилососи марки "Ракета" становили близько половини загальнодержавного випуску таких вироб</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в. </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з розпадом СРСР на п</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дприємств</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вимушено зменшилися обсяги виробництва продукц</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ї, суттєво скоротилася к</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льк</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сть працюючих, значно пог</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ршився ф</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нансовий стан. У 1996 роц</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п</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дприємство перетворюється у в</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дкрите акц</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онерне товариство, розпочинається його приватизац</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я, остаточно завершена на початку 2008 року. Виконуючи вимоги Закону України "Про акціонерні товариства", у 2011 році, товариство перейменоване на публічне акціонерне товариство, а у 2017 році – на приватне. Попри ус</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труднощ</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перех</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дного пер</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оду, п</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дприємству вдалося: у значн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й м</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р</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зберегти, почасти й розвинути св</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й виробничий потенц</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ал у галуз</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л</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такобудування; усп</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шно засвоїти нову для себе виробничу та ринкову нишу - виробництво та реал</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зац</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ю г</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дроемульс</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йної апаратури для г</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рнично-шахтного обладнання; розвинути виробництво електроприводу, вироб</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в для базових галузей в</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тчизняної економ</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ки - металург</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ї, зал</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зничного транспорту, буд</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вництва, с</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льськогосподарського машинобудування, тощо. Протягом останніх років у виробництво наполегливо впроваджується нове високопродуктивне обладнання, що дозволяє нарощувати обсяги виробництва продукції та забезпечувати її високу якість, не зважаючи навіть на кризові явища у світовій та вітчизняній економіці. Зважаючи на відоме напруження у міждержавних російсько-українських відносинах, проводиться переорієнтація експортної політики підприємства з російського на внутрішній та інші світові ринки. Так, зокрема, у звітному році істотно нарощені виробничі потужності з виготовлення виробів для вітчизняної гірнично-шахтної галузі, успішно розвивається виробництво іноземних замовлень для споживачів з провідних країн Євросоюзу, укладені перспектині угоди й на майбутнє.</w:t>
            </w:r>
          </w:p>
        </w:tc>
      </w:tr>
      <w:tr w:rsidR="003D63E0" w:rsidRPr="00995F23" w:rsidTr="00946C74">
        <w:trPr>
          <w:trHeight w:val="315"/>
        </w:trPr>
        <w:tc>
          <w:tcPr>
            <w:tcW w:w="900" w:type="dxa"/>
            <w:tcBorders>
              <w:top w:val="nil"/>
              <w:left w:val="nil"/>
              <w:bottom w:val="nil"/>
              <w:right w:val="nil"/>
            </w:tcBorders>
            <w:tcMar>
              <w:top w:w="75" w:type="dxa"/>
              <w:left w:w="150" w:type="dxa"/>
              <w:bottom w:w="75" w:type="dxa"/>
              <w:right w:w="150" w:type="dxa"/>
            </w:tcMar>
            <w:vAlign w:val="center"/>
            <w:hideMark/>
          </w:tcPr>
          <w:p w:rsidR="003D63E0" w:rsidRPr="00995F23" w:rsidRDefault="003D63E0" w:rsidP="003D63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180" w:lineRule="atLeast"/>
              <w:jc w:val="both"/>
              <w:rPr>
                <w:rFonts w:ascii="Times New Roman" w:eastAsia="Times New Roman" w:hAnsi="Times New Roman" w:cs="Times New Roman"/>
                <w:color w:val="0065A3"/>
                <w:sz w:val="17"/>
                <w:szCs w:val="17"/>
                <w:lang w:val="uk-UA" w:eastAsia="ru-RU"/>
              </w:rPr>
            </w:pPr>
            <w:r w:rsidRPr="00995F23">
              <w:rPr>
                <w:rFonts w:ascii="Times New Roman" w:eastAsia="Times New Roman" w:hAnsi="Times New Roman" w:cs="Times New Roman"/>
                <w:color w:val="0065A3"/>
                <w:sz w:val="17"/>
                <w:szCs w:val="17"/>
                <w:lang w:val="uk-UA" w:eastAsia="ru-RU"/>
              </w:rPr>
              <w:t>Структура управл</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ння побудована, переважно, за л</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йно-функц</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ональним принципом. Її п</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дрозд</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ли (управл</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ння, в</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дд</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ли, окрем</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бюро, тощо) п</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дпорядкован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заступникам голови правл</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ння з відповідних питань </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складають у сукупност</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функціональні служби п</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дприємства. Організаційна структура п</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дприємства спроможна вир</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шувати питання практично усього життєвого циклу продукц</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ї (розробка, п</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дготовка виробництва, виготовлення, обертання та експлуатац</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я), а також ресурсного, кадрового, правового, </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нформац</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йного забезпечення д</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яльност</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п</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дприємства. Виробнича структура п</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дприємства включає п</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дрозд</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ли основного </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допом</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жного виробництва. В основному виробництв</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вирізняються: 1) предметно-спец</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ал</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зован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складальні та механо-скаладальні цехи (виробництва), серед яких слід відзначити створені відносно нещодавно: - виробництво іноземних заказів (створено наприкінці 2014 року і зорієнтоване на засвоєння та серійний випуск виробів машинобудування для споживачів у країнах Євросоюзу, Ближнього та Далекого Сходу); - окремий спеціалізований цех силової гідравліки в м. Покровську (створений в 2016 р.); 2)технолог</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чно-спец</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ал</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зован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цехи: -ливарний (з в</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дд</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леннями терм</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чної обробки, виготовлення виробів з гуми та пластмас); -ковальсько-загот</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вельний (з відділенням холодного металоштампування); -металопокрить (з в</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дд</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леннями гальван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чних та лако-фарбних покрить); -др</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бних металовироб</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в (метиз</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в). Допом</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жне виробництво включає </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нструментальний, ремонтно-механ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чний, енергетичний цехи та ремонтно-буд</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вельну дільницю(у складі відділу капітального будівництва). Виробнича структура п</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дприємства охоплює, зг</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дно з її проф</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лем, практично вс</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технолог</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чн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перед</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ли машинобудування. П</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дприємство пос</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дає також необх</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дне складське господарство, має медично-сан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тарну частину (в ранз</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спец</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ал</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зованого п</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дрозд</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лу), бази в</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дпочинку на Дніпрі, .Самарі та на Азовському морі. В орган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зац</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йн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й структур</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товариства окремо стоять його доч</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рн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п</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дприємства, що д</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ють як самост</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йн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юридичн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особи, не утворюючи разом з материнською структурою будь-яких формальних об'єднань. Взаємов</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дносини м</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ж товариством та його доч</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рними п</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дприємствами регулюються статутами останн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х та господарськими угодами з ними. Усього нал</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чується чотири таких п</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дприємства: -доч</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рнє п</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дприємство "Оздоровчий комплекс </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м. космонавта Комарова В.М.", розташоване в м. Ген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чеськ Херсонської област</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на баз</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колишнього п</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онерського табору. Тут на п</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льгових умовах в</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дпочивають та оздоровлюються прац</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вники товариства та їх с</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м'ї; -доч</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рнє п</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дприємство "Ав</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аагрегат", розташоване в м. Дн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пропетровську, займається переважно торгово-посередницькою д</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яльн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стю, виступаючи почасти д</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лером товариства, сприяючи прискоренню обертання об</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гових кошт</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в товариства </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зниженню його витрат в сфер</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реал</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зац</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ї продукц</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ї; -доч</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рнє п</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дприємство ф</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рма "Ракета", розташоване в м. Дн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пропетровську, виконувало щодо </w:t>
            </w:r>
            <w:r w:rsidRPr="00995F23">
              <w:rPr>
                <w:rFonts w:ascii="Times New Roman" w:eastAsia="Times New Roman" w:hAnsi="Times New Roman" w:cs="Times New Roman"/>
                <w:color w:val="0065A3"/>
                <w:sz w:val="17"/>
                <w:szCs w:val="17"/>
                <w:lang w:val="uk-UA" w:eastAsia="ru-RU"/>
              </w:rPr>
              <w:lastRenderedPageBreak/>
              <w:t>товариства так</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ж завдання, як </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ДП "Ав</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аагрегат". Останнім часом фірма "Ракета" згорнула свою діяльність; -доч</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рнє п</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дприємство "Ав</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акомплект", розташоване в м. Дн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пропетровську і зор</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єнтоване передусім на транспортне обслуговування АТ «ДАЗ». Ф</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л</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й та представництв товариство не має.</w:t>
            </w:r>
          </w:p>
        </w:tc>
      </w:tr>
      <w:tr w:rsidR="003D63E0" w:rsidRPr="00995F23" w:rsidTr="00946C74">
        <w:trPr>
          <w:trHeight w:val="315"/>
        </w:trPr>
        <w:tc>
          <w:tcPr>
            <w:tcW w:w="900" w:type="dxa"/>
            <w:tcBorders>
              <w:top w:val="nil"/>
              <w:left w:val="nil"/>
              <w:bottom w:val="nil"/>
              <w:right w:val="nil"/>
            </w:tcBorders>
            <w:tcMar>
              <w:top w:w="75" w:type="dxa"/>
              <w:left w:w="150" w:type="dxa"/>
              <w:bottom w:w="75" w:type="dxa"/>
              <w:right w:w="150" w:type="dxa"/>
            </w:tcMar>
            <w:vAlign w:val="center"/>
            <w:hideMark/>
          </w:tcPr>
          <w:p w:rsidR="003D63E0" w:rsidRPr="00995F23" w:rsidRDefault="003D63E0" w:rsidP="003D63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180" w:lineRule="atLeast"/>
              <w:jc w:val="both"/>
              <w:rPr>
                <w:rFonts w:ascii="Times New Roman" w:eastAsia="Times New Roman" w:hAnsi="Times New Roman" w:cs="Times New Roman"/>
                <w:color w:val="0065A3"/>
                <w:sz w:val="17"/>
                <w:szCs w:val="17"/>
                <w:lang w:val="uk-UA" w:eastAsia="ru-RU"/>
              </w:rPr>
            </w:pPr>
            <w:r w:rsidRPr="00995F23">
              <w:rPr>
                <w:rFonts w:ascii="Times New Roman" w:eastAsia="Times New Roman" w:hAnsi="Times New Roman" w:cs="Times New Roman"/>
                <w:color w:val="0065A3"/>
                <w:sz w:val="17"/>
                <w:szCs w:val="17"/>
                <w:lang w:val="uk-UA" w:eastAsia="ru-RU"/>
              </w:rPr>
              <w:lastRenderedPageBreak/>
              <w:t>Середньооблікова чисельність штатних працівників облікового складу (осіб): 2372 Середня чисельність позаштатних працівників та осіб, які працюють за сумісництвом (осіб): 209 Чисельність працівників, які працюють на умовах неповного робочого часу (дня, тижня) (осіб): 168 Фонд оплати праці: 160047,5 тис.грн. Фонд оплати праці відносно 2017 року збільшився у звязку із ростом обсягу виробництва, мінімальної заробітної плати та прожиточного мінімуму. Кадрова програма (політика) товариства спрямована на забезпечення рівня кваліфікації працівників операційним потребам, тобто на забезпечення поточних та довгострокових потреб підприємства необхідною кількістю робітників та службовців відповідних професій та кваліфікації. Основні напрямки політики та порядок її реалізації визначені стандартами підприємства у системі менеджменту якості (управління якістю), знаходять також відображення у колективному договорі та у розпорядчо-організаційних документах керівництва підприємства. Для забезпечення рівня кваліфікації працівників операційним потребам на підприємстві проводиться планомірна робота з підвищення кваліфікації працівників. Ця робота здійснюється як безпосередньо на підприємстві, так і у спеціалізованих закладах фахової освіти. У товаристві працюють постійно діючі та цільові курси підвищення кваліфікації, на яких у 2017 році пройшли навчання 113 працівників. Іще 93 працівника пройшли навчання у міському учбовому комбінаті "Дніпробуд" із них 36 працівників освоїли робітничі професії. Протягом року 145 робітникам-учням вперше присвоєні кваліфікаційні розряди, 76 робітникам підвищено кваліфікаційний розряд, 63 працівника засвоїли другу професію. Відповідно до чинних стандартів підприємства на заводі проводиться періодична атестація службовців на відповідність займаній посаді, а також атестація виконавців відповідальних (з погляду на якість продукції та безпеку праці) робіт. Згідно з Положенням від 18.11.2005 року № 58 "Про порядок підготовки спеціалістів та їх комплектування для підприємства" проводиться постійна робота з залучення молодих фахівців для роботи на підприємстві після закінчення навчання у вузах та технікумах. Так, у 2017 році на підприємство було прийнято 21 такий фахівець. Крім того, станом на 31.12.2017 р., підприємство оплачує навчання 11 особам.</w:t>
            </w:r>
          </w:p>
        </w:tc>
      </w:tr>
      <w:tr w:rsidR="003D63E0" w:rsidRPr="00995F23" w:rsidTr="00946C74">
        <w:trPr>
          <w:trHeight w:val="315"/>
        </w:trPr>
        <w:tc>
          <w:tcPr>
            <w:tcW w:w="900" w:type="dxa"/>
            <w:tcBorders>
              <w:top w:val="nil"/>
              <w:left w:val="nil"/>
              <w:bottom w:val="nil"/>
              <w:right w:val="nil"/>
            </w:tcBorders>
            <w:tcMar>
              <w:top w:w="75" w:type="dxa"/>
              <w:left w:w="150" w:type="dxa"/>
              <w:bottom w:w="75" w:type="dxa"/>
              <w:right w:w="150" w:type="dxa"/>
            </w:tcMar>
            <w:vAlign w:val="center"/>
            <w:hideMark/>
          </w:tcPr>
          <w:p w:rsidR="003D63E0" w:rsidRPr="00995F23" w:rsidRDefault="003D63E0" w:rsidP="003D63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180" w:lineRule="atLeast"/>
              <w:jc w:val="both"/>
              <w:rPr>
                <w:rFonts w:ascii="Times New Roman" w:eastAsia="Times New Roman" w:hAnsi="Times New Roman" w:cs="Times New Roman"/>
                <w:color w:val="0065A3"/>
                <w:sz w:val="17"/>
                <w:szCs w:val="17"/>
                <w:lang w:val="uk-UA" w:eastAsia="ru-RU"/>
              </w:rPr>
            </w:pPr>
            <w:r w:rsidRPr="00995F23">
              <w:rPr>
                <w:rFonts w:ascii="Times New Roman" w:eastAsia="Times New Roman" w:hAnsi="Times New Roman" w:cs="Times New Roman"/>
                <w:color w:val="0065A3"/>
                <w:sz w:val="17"/>
                <w:szCs w:val="17"/>
                <w:lang w:val="uk-UA" w:eastAsia="ru-RU"/>
              </w:rPr>
              <w:t>АТ «ДАЗ» входить до складу Асоціації підприємств-виробників гідравлічного обладнання «Укргідравлика, яка зареєстрована у м. Кропивницькому. Діяльність асоціації полягає в координації господарської діяльності членів Асоціації щодо сприяння створенню організаційних, економічних, правових і соціальних умов, необхідних для ефективного розвитку виробництва гідравлічних вузлів та обладнання, без права втручання в виробничу й комерційну діяльність членів Асоціації, прийняття управлінських рішень.</w:t>
            </w:r>
          </w:p>
        </w:tc>
      </w:tr>
      <w:tr w:rsidR="003D63E0" w:rsidRPr="00995F23" w:rsidTr="00946C74">
        <w:trPr>
          <w:trHeight w:val="315"/>
        </w:trPr>
        <w:tc>
          <w:tcPr>
            <w:tcW w:w="900" w:type="dxa"/>
            <w:tcBorders>
              <w:top w:val="nil"/>
              <w:left w:val="nil"/>
              <w:bottom w:val="nil"/>
              <w:right w:val="nil"/>
            </w:tcBorders>
            <w:tcMar>
              <w:top w:w="75" w:type="dxa"/>
              <w:left w:w="150" w:type="dxa"/>
              <w:bottom w:w="75" w:type="dxa"/>
              <w:right w:w="150" w:type="dxa"/>
            </w:tcMar>
            <w:vAlign w:val="center"/>
            <w:hideMark/>
          </w:tcPr>
          <w:p w:rsidR="003D63E0" w:rsidRPr="00995F23" w:rsidRDefault="003D63E0" w:rsidP="003D63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180" w:lineRule="atLeast"/>
              <w:jc w:val="both"/>
              <w:rPr>
                <w:rFonts w:ascii="Times New Roman" w:eastAsia="Times New Roman" w:hAnsi="Times New Roman" w:cs="Times New Roman"/>
                <w:color w:val="0065A3"/>
                <w:sz w:val="17"/>
                <w:szCs w:val="17"/>
                <w:lang w:val="uk-UA" w:eastAsia="ru-RU"/>
              </w:rPr>
            </w:pPr>
            <w:r w:rsidRPr="00995F23">
              <w:rPr>
                <w:rFonts w:ascii="Times New Roman" w:eastAsia="Times New Roman" w:hAnsi="Times New Roman" w:cs="Times New Roman"/>
                <w:color w:val="0065A3"/>
                <w:sz w:val="17"/>
                <w:szCs w:val="17"/>
                <w:lang w:val="uk-UA" w:eastAsia="ru-RU"/>
              </w:rPr>
              <w:t>У звітному році такої діяльності на постійній основі товариство не проводило.</w:t>
            </w:r>
          </w:p>
        </w:tc>
      </w:tr>
      <w:tr w:rsidR="003D63E0" w:rsidRPr="00995F23" w:rsidTr="00946C74">
        <w:trPr>
          <w:trHeight w:val="315"/>
        </w:trPr>
        <w:tc>
          <w:tcPr>
            <w:tcW w:w="900" w:type="dxa"/>
            <w:tcBorders>
              <w:top w:val="nil"/>
              <w:left w:val="nil"/>
              <w:bottom w:val="nil"/>
              <w:right w:val="nil"/>
            </w:tcBorders>
            <w:tcMar>
              <w:top w:w="75" w:type="dxa"/>
              <w:left w:w="150" w:type="dxa"/>
              <w:bottom w:w="75" w:type="dxa"/>
              <w:right w:w="150" w:type="dxa"/>
            </w:tcMar>
            <w:vAlign w:val="center"/>
            <w:hideMark/>
          </w:tcPr>
          <w:p w:rsidR="003D63E0" w:rsidRPr="00995F23" w:rsidRDefault="003D63E0" w:rsidP="003D63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180" w:lineRule="atLeast"/>
              <w:jc w:val="both"/>
              <w:rPr>
                <w:rFonts w:ascii="Times New Roman" w:eastAsia="Times New Roman" w:hAnsi="Times New Roman" w:cs="Times New Roman"/>
                <w:color w:val="0065A3"/>
                <w:sz w:val="17"/>
                <w:szCs w:val="17"/>
                <w:lang w:val="uk-UA" w:eastAsia="ru-RU"/>
              </w:rPr>
            </w:pPr>
            <w:r w:rsidRPr="00995F23">
              <w:rPr>
                <w:rFonts w:ascii="Times New Roman" w:eastAsia="Times New Roman" w:hAnsi="Times New Roman" w:cs="Times New Roman"/>
                <w:color w:val="0065A3"/>
                <w:sz w:val="17"/>
                <w:szCs w:val="17"/>
                <w:lang w:val="uk-UA" w:eastAsia="ru-RU"/>
              </w:rPr>
              <w:t>Пропозиції щодо реорганізації з боку третіх осіб у звітному періоді не надходили.</w:t>
            </w:r>
          </w:p>
        </w:tc>
      </w:tr>
      <w:tr w:rsidR="003D63E0" w:rsidRPr="00995F23" w:rsidTr="00946C74">
        <w:trPr>
          <w:trHeight w:val="315"/>
        </w:trPr>
        <w:tc>
          <w:tcPr>
            <w:tcW w:w="900" w:type="dxa"/>
            <w:tcBorders>
              <w:top w:val="nil"/>
              <w:left w:val="nil"/>
              <w:bottom w:val="nil"/>
              <w:right w:val="nil"/>
            </w:tcBorders>
            <w:tcMar>
              <w:top w:w="75" w:type="dxa"/>
              <w:left w:w="150" w:type="dxa"/>
              <w:bottom w:w="75" w:type="dxa"/>
              <w:right w:w="150" w:type="dxa"/>
            </w:tcMar>
            <w:vAlign w:val="center"/>
            <w:hideMark/>
          </w:tcPr>
          <w:p w:rsidR="003D63E0" w:rsidRPr="00995F23" w:rsidRDefault="003D63E0" w:rsidP="003D63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180" w:lineRule="atLeast"/>
              <w:jc w:val="both"/>
              <w:rPr>
                <w:rFonts w:ascii="Times New Roman" w:eastAsia="Times New Roman" w:hAnsi="Times New Roman" w:cs="Times New Roman"/>
                <w:color w:val="0065A3"/>
                <w:sz w:val="17"/>
                <w:szCs w:val="17"/>
                <w:lang w:val="uk-UA" w:eastAsia="ru-RU"/>
              </w:rPr>
            </w:pPr>
            <w:r w:rsidRPr="00995F23">
              <w:rPr>
                <w:rFonts w:ascii="Times New Roman" w:eastAsia="Times New Roman" w:hAnsi="Times New Roman" w:cs="Times New Roman"/>
                <w:color w:val="0065A3"/>
                <w:sz w:val="17"/>
                <w:szCs w:val="17"/>
                <w:lang w:val="uk-UA" w:eastAsia="ru-RU"/>
              </w:rPr>
              <w:t xml:space="preserve">Основними засобами визнавати матеріальні активи, що утримуються підприємством для використання у виробництві або постачанні товарів чи наданні послуг для надання в оренду або для адміністративних цілей і будуть використовуватись, як очікується, протягом більше одного періоду. Основні засоби зараховувати на баланс підприємства за собівартістю відповідно до МСБО 16. Собівартість об'єкта основних засобів складається з: а) ціни його придбання, включаючи імпортні мита та невідшкодовані податки на придбання після вирахування торговельних знижок та цінових знижок. б) будь-яких витрат, які безпосередньо пов'язані з доставкою активу до місця розташування та приведення його в стан, необхідний для експлуатації у спосіб, визначений управлінським персоналом. в) первісної попередньої оцінки витрат на демонтаж, переміщення об'єкта та відновлення території, на якій він розташований, зобов'язання за якими суб'єкт господарювання бере або коли купує цей об'єкт, або коли використовує його протягом певного періоду з метою, яка відрізняється від виробництва запасів протягом цього періоду. Прикладами безпосередньо пов'язаних витрат є: а) витрати на виплати працівникам (як визначено в МСБО 19 "Виплати працівникам"), які виникають безпосередньо від спорудження або придбання об'єкта основних засобів; б) витрати на впорядкування території; в) первісні витрати на доставку та розвантаження; г) витрати на встановлення та монтаж; ґ) витрати на перевірку відповідного функціонування активу після вирахування чистих надходжень від продажу будь-яких об'єктів під час доставки активу до теперішнього місця розташування та приведення в теперішній стан (наприклад, зразків, вироблених під час перевірки обладнання); г) гонорари спеціалістам. Витрати, які не є витратами на об'єкт основних засобів: а) витрати на відкриття нових потужностей; б) витрати на введення нового продукту чи послуги (включаючи витрати на діяльність із рекламування та просування); в) витрати на ведення бізнесу в новому місці розташування або з новою категорією клієнтів (включаючи витрати на підготовку персоналу); г) адміністративні та інші загальні накладні витрати. Амортизація основних засобів - прямолінійний метод. Кожну частину об’єкта основних засобів, собівартість якої є суттєвою стосовно загальної собівартості об’єкта, слід амортизувати окремо. Для облікової політики нематеріального активу обрано модель собівартості, тобто після первісного визнання слід відображати за його собівартістю за вирахуванням будь-якої накопиченої амортизації та будь-яких накопичених збитків від зменшення корисності. Нематеріальний актив - немонетарний актив, який не має фізичної субстанції та може бути ідентифікований. Суб'єкт господарювання оцінює, чи є визначеним або невизначеним строк корисної експлуатації нематеріального активу, та якщо він є визначеним, оцінює його тривалість або кількість одиниць продукції (чи подібних одиниць), які складають цей строк корисної експлуатації. Суб'єкт господарювання має розглядати нематеріальний актив як такий, що має невизначений строк корисної експлуатації, якщо (виходячи з аналізу всіх відповідних чинників) немає передбачуваного обмеження періоду, протягом якого такий актив буде (за очікуванням) генерувати надходження чистих грошових потоків до суб'єкта господарювання. Облік нематеріального активу базується на строкові його корисної експлуатації. Нематеріальний актив з визначеним строком корисної експлуатації амортизується, тоді як нематеріальний актив з невизначеним строком корисної експлуатації - не амортизується. Суму нематеріального активу з визначеним строком корисної експлуатації, що амортизується, слід розподіляти на систематичній основі протягом строку його корисної експлуатації. Амортизацію слід починати, коли цей актив стає придатним до використання, тобто коли він доставлений до місця розташування та приведений у стан, у якому він придатний до експлуатації у спосіб, визначений управлінським персоналом.. Для розподілу суми активу, що амортизується, на систематичній основі протягом строку його корисної експлуатації використовуємо прямолінійний метод Інвестиційна нерухомість, яка утримується для отримання доходу від оренди, відображається в </w:t>
            </w:r>
            <w:r w:rsidRPr="00995F23">
              <w:rPr>
                <w:rFonts w:ascii="Times New Roman" w:eastAsia="Times New Roman" w:hAnsi="Times New Roman" w:cs="Times New Roman"/>
                <w:color w:val="0065A3"/>
                <w:sz w:val="17"/>
                <w:szCs w:val="17"/>
                <w:lang w:val="uk-UA" w:eastAsia="ru-RU"/>
              </w:rPr>
              <w:lastRenderedPageBreak/>
              <w:t>балансі за собівартістю з відрахуванням накопиченої амортизації та накопиченого збитку від зменшення корисності. Оренда класифікується як фінансова оренда, якщо вона передає в основному всі ризики та винагороди щодо володіння. Оренда класифікується як операційна оренда, якщо вона не передає в основному всі ризики та винагороди щодо володіння Знецінення матеріальних і нематеріальних активів. Товариство проводить перевірку наявності індикаторів знецінення балансової вартості матеріальних і нематеріальних активів на кожну звітну дату.. Дохід Дохід від продажу продукції (товарів) визнається в разі задоволення всіх наведених далі умов: покупцеві передані суттєві ризики і винагороди, пов’язані з власністю на продукцію (товар), за Товариством не залишається контроль за проданою продукцією (товарами); суму доходу можна достовірно оцінити та ймовірно дійдуть економічні вигоди, пов’язані з операцією; витрати, які були або будуть понесені у зв’язку з операцією, можна достовірно оцінити. Дохід від надання послуг визнається, якщо результат операції, яка передбачає надання послуг, може бути попередньо оцінений достовірно, дохід, пов’язаний з операцією, має визнаватися шляхом посилання на той етап завершеності операції, який є на кінець звітного періоду; існує ймовірність надходження до підприємства економічних вигід, пов’язаних з операцією; можна достовірно оцінити ступінь завершеності операції на кінець звітного періоду та достовірно оцінити витрати, понесені у зв’язку з операцією, та витрати, необхідні для її завершення. Ступень завершеності операцій з надання послуг визначається шляхом огляд (вивчення ) виконаної роботи. Дохід від відсотків від використання грошових коштів підприємства (банківські депозити), визнається із застосуванням методу ефективної ставки відсотка в періоді їх нарахування. Виплати працівникам Товариство визнає короткострокові виплати працівникам як витрати та як зобов'язання після вирахування будь-якої вже сплаченої суми. Товариство визнає очікувану вартість короткострокових виплат працівникам, як забезпечення відпусток - під час надання працівниками послуг, які збільшують їхні права на майбутні виплати відпускних. Фінансові інструменти Фінансові активи та фінансові зобов'язання визнаються в балансі, коли Товариство стає стороною контракту стосовно такого інструменту. Дебіторська заборгованість відображається за номінальною вартістю за вирахуванням резерву сумнівних боргів. Резерв сумнівних боргів формується на підставі аналізу дебіторської заборгованості, відображеної в балансі. Інвестиції Інвестиції, які не можуть бути класифіковані, як інвестиції в асоційовані, спільні та дочірні підприємства первісно, обліковуються за методом участі в капіталі: спочатку визнаються за собівартістю, а потім коригуються відповідно до зміни частки інвестора в чистих активах об’єкта інвестування після придбання. Прибуток чи збиток інвестора включає частку інвестора в прибутку чи збитку об’єкта інвестування. Всі фінансові інвестиції переглядаються на зменшення корисності. Запаси - це активи, які: а) утримуються для продажу у звичайному ході бізнесу; б) перебувають у процесі виробництва для такого продажу або в) існують у формі основних чи допоміжних матеріалів для споживання у виробничому процесі або при наданні послуг. У бухгалтерському обліку запаси поділяються на наступні групи: Запаси поділяються на групи: матеріали, полу фабрикати, паливо, тара, матеріали в переробці, комплектуючи матеріали, ТТР, МБП, запасні частини та інші. Запаси оцінюють за меншою з таких двох величин: собівартість та чиста вартість реалізації. Собівартість запасів повинна включати всі витрати на придбання, витрати на переробку та інші витрати, понесені під час доставки запасів до їх теперішнього місцезнаходження та приведення їх у теперішній стан. Метод визначення оцінки собівартості запасів - метод стандартних витрат Валюта При підготовці фінансової звітності Товариство угоди в валюті відображаються за курсом на дату здійснення операції. Грошові статті, виражені в іноземних валютах, перераховуються за відповідним валютним курсом на дату складання звітності. Негрошові статті, що враховуються в іноземній валюті та оцінюються за справедливою вартістю, підлягають перерахунку за курсом, що діяв на дату визначення справедливої вартості. Негрошові статті, які відображені за історичною вартістю, вираженої в іноземній валюті, не перераховуються. Курсові різниці по грошовим статтям, що виникають у результаті зміни курсів валют, відображаються у прибутках і збитках у періоді їх виникнення. Податок на прибуток Витрати з податку на прибуток складаються з сум поточного та відстроченого податку на прибуток. Поточний податок на прибуток визначається, виходячи з оподаткованого прибутку за рік за законодавством України. Фінансовий актив (МСБО 32) - це будь-який актив, що є: а) грошовими коштами; б) інструментом власного капіталу іншого суб'єкта господарювання; в) контрактним правом; г) контрактом, розрахунки за яким здійснюватимуться або можуть здійснюватися власними інструментами капіталу суб'єкта господарювання Фінансове зобов'язання - це будь-яке зобов'язання, що є: а) контрактним зобов'язанням; б) контрактом, розрахунки за яким здійснюються або можуть здійснюватися власними інструментами капіталу. Інструмент капіталу - це будь-який контракт, який засвідчує залишкову частку в активах суб'єкта господарювання після вирахування всіх його зобов'язань.</w:t>
            </w:r>
          </w:p>
        </w:tc>
      </w:tr>
      <w:tr w:rsidR="003D63E0" w:rsidRPr="00995F23" w:rsidTr="00946C74">
        <w:trPr>
          <w:trHeight w:val="315"/>
        </w:trPr>
        <w:tc>
          <w:tcPr>
            <w:tcW w:w="900" w:type="dxa"/>
            <w:tcBorders>
              <w:top w:val="nil"/>
              <w:left w:val="nil"/>
              <w:bottom w:val="nil"/>
              <w:right w:val="nil"/>
            </w:tcBorders>
            <w:tcMar>
              <w:top w:w="75" w:type="dxa"/>
              <w:left w:w="150" w:type="dxa"/>
              <w:bottom w:w="75" w:type="dxa"/>
              <w:right w:w="150" w:type="dxa"/>
            </w:tcMar>
            <w:vAlign w:val="center"/>
            <w:hideMark/>
          </w:tcPr>
          <w:p w:rsidR="003D63E0" w:rsidRPr="00995F23" w:rsidRDefault="003D63E0" w:rsidP="003D63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180" w:lineRule="atLeast"/>
              <w:jc w:val="both"/>
              <w:rPr>
                <w:rFonts w:ascii="Times New Roman" w:eastAsia="Times New Roman" w:hAnsi="Times New Roman" w:cs="Times New Roman"/>
                <w:color w:val="0065A3"/>
                <w:sz w:val="17"/>
                <w:szCs w:val="17"/>
                <w:lang w:val="uk-UA" w:eastAsia="ru-RU"/>
              </w:rPr>
            </w:pPr>
            <w:r w:rsidRPr="00995F23">
              <w:rPr>
                <w:rFonts w:ascii="Times New Roman" w:eastAsia="Times New Roman" w:hAnsi="Times New Roman" w:cs="Times New Roman"/>
                <w:color w:val="0065A3"/>
                <w:sz w:val="17"/>
                <w:szCs w:val="17"/>
                <w:lang w:val="uk-UA" w:eastAsia="ru-RU"/>
              </w:rPr>
              <w:lastRenderedPageBreak/>
              <w:t>Не зважаючи на втрату російських ринків збуту, ще досі третину загального обсягу виробництва припадає на ав</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ац</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йну та </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ншу техн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ку спец</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ального призначення. Це, перед ус</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м, паливн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а також </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нш</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р</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динн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насоси р</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зного устрою: центроб</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жн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(з власним електричним приводом, або з приводом в</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д </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нших агрегат</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в л</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тального апарату чи </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ншого основного об'єкту), плунжерн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(високого тиску робочої р</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дини), мембранн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г</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дротурб</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нн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тощо. Ця продукц</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я характеризується високою техн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чною складн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стю, жорсткими вимогами до якост</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виготовлення </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над</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йност</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в експлуатац</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ї, високою в</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дпов</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дальн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стю в режим</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роботи основних об'єкт</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в. Таку ж саму частину продукції заводу становить так звана г</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дроемульс</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йна апаратура до г</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рничо-шахтного обладнання - г</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дророзпод</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лювач</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г</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дроклапани, г</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дрозамки, силова г</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дравл</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ка, та </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нше. Ця продукц</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я з'явилася в товарн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й номенклатур</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п</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дприємства внасл</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док конверс</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йних пошук</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в можливостей завантаження виробничих потужностей, що вив</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льнилися </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з скороченням виробництва спец</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альної техн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ки. Серед </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ншої продукц</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ї п</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дприємства сл</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 назвати також електричний привод як самост</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йну товарну позиц</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ю. П</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дприємство </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ран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ше виготовляло електричн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двигуни, але переважно для комплектування </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нших вироб</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в власного виробництва - електроприводних центроб</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жних насос</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в, пилосос</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в, тощо. На баз</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цього досв</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ду в ход</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конверс</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ї виробництва були опрацьован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електричн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двигуни для приводу побутових молочних та ол</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йних сепаратар</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в, що їх виробляють, наприклад, Запор</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зьке АТ "Мотор-С</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ч". Також були розроблен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двигуни для потреб зал</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зничного, автомоб</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льного, м</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ського транспорту. У звітному році продовжено засвоєння та впровадження у виробництво нових виробів для заміщення експорту в Россію. Так, досить успішно розвивається засвоєння та серійне виробництво нових видів продукції для споживачів у країнах Євросоюзу (вже близько 15% загального обсягу виробництва), а також виробів для сільгоспмашин, лісного господарства, для обробки та культивації грунту (більше 10%). Поряд з виробництвом продукц</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ї п</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дприємство виконує також гарант</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йний та п</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сля гарант</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йний ремонт виготовленої ним техн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ки. Для цього на п</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дприємств</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опрацьован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в</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дпов</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технолог</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ї, створен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необх</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виробнич</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структури. Сл</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 також зауважити, що на п</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дприємств</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пост</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йно проводиться робота з техн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чного вдосконалення вироб</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в, що випускаються, вдосконалення технолог</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ї </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орган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зац</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ї виробництва, опрацювання </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запровадження у виробництво нових вироб</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в, тощо. Залежн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сть в</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 сезонних зм</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н на п</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дприємств</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не в</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дчутна. Збут продукц</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ї п</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дприємства зд</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йснюється через власний спец</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ал</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зований п</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дрозд</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л - Управл</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ння збуту продукц</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ї (УЗП), яке має стал</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зв'язки з рег</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ональними д</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лерами </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безпосередньо з споживачами. В</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дпов</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дно до вимог чинного законодавства, на п</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дприємств</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створена спец</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альна служба експортного контролю. Продаж ав</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ац</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йної та </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ншої техн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ки спец</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ального призначення, г</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дроемульс</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йної апаратури, електроприводу, </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ншої продукц</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ї виробничого призначення зд</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йснюється переважно за умовами в</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дпов</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дних господарських договор</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в, що укладаються або безпосередньо </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з споживачами або з заруб</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жними </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в</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тчизняними дистриб'юторами. Вживається гнучка система розрахунк</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в - це може бути </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попередня оплата, </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оплата за фактом </w:t>
            </w:r>
            <w:r w:rsidRPr="00995F23">
              <w:rPr>
                <w:rFonts w:ascii="Times New Roman" w:eastAsia="Times New Roman" w:hAnsi="Times New Roman" w:cs="Times New Roman"/>
                <w:color w:val="0065A3"/>
                <w:sz w:val="17"/>
                <w:szCs w:val="17"/>
                <w:lang w:val="uk-UA" w:eastAsia="ru-RU"/>
              </w:rPr>
              <w:lastRenderedPageBreak/>
              <w:t>в</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двантаження, поставки, тощо. Більша частина виробленої продукції товариства реалізується в Україні. У останні роки суттєво зросли поставки до країн Євросоюзу, дещо знизилися – до країн СНД. Гідроемульсійна апаратура до ГШО включає в себе елементи гідравлічних систем різноманітного призначення, що застосовуються переважно у вугільній промисловості. Переважна частина цієї продукції постачається українським споживачам. Основними з них є підприємства Донецького, Луганського та Павлоградського регіонів: ТОВ "ДТЕК ЕНЕРГО", ПАТ "Шахтоуправління "Покровське", ТОВ "Корум Груп", ПАТ "Гірничі машини-ДрМЗ", ДП "Львіввугілля" та інші. Електродвигуни та запчастини до них, постачаються також переважно українським споживачам (100%). Основні споживачі: ПАТ "Мотор Січ", ПАТ "КЕЗ" Транссигнал", ПАТ "АрселорМіттал Кривий Ріг". Для виробництва продукц</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ї на п</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дприємств</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використовується досить широкий асортимент чорних та кольорових метал</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в, пластмаса, гума, кабельна продукц</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я, лако-фарбов</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вироби, деревина, тканини та </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нш</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матер</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али. Джерелами постачання переважної б</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льшост</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усього (до 95%) цього виступають в</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тчизнян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виробники, наприклад: труби для виготовлення гірнично-шахтного обладнання постачаються підприємствами ВФГ "Інтерпайп", ТОВ "Інвестмаш" (м.Дніпро); чорний металопрокат - ТОВ "Такт", ТОВ "Співдружність", ТОВ "Аконіт-ДС", ТОВ "АВ метал груп", ТОВ "Максима-метал" (м.Дніпро); кольорові метали - ТОВ "ЗЗКС" (м.Запоріжжя), ТОВ "Металургійна інвестиційна група", ТОВ "ТД "Український кольоровий прокат", ТОВ "Харківкольоромет " та ТОВ "ОЛЬГА" (м.Харків); графітові вироби - ТОВ фірма "ЛЕГ" (м. Харків); кабельну продукцію - ТОВ "Полюс", ТОВ "Акватон" (м.Дніпро); хімічну продукцію - ТОВ "Геосат плюс" (м. Харків), КП ПКФ "Венеція и К" (м. Дніпро); пластмаси - ТОВ "Сонар", ТОВ "Укрізолітснаб"; лакофарбові вироби - ТОВ НВП "Соло" , ТОВ "Профарба"; гума - ПП ВП "Акам" (м. Суми). Лише незначна (в</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дносно до загального обсягу постачання) частина необх</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дних матер</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ал</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в та комплектуючих вироб</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в поставляється безпосередньо з кріїн СНД та дальнього зарубіжжя (до 5%). Як правило, істотних проблем з доступн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стю джерел сировини не </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снує - за винятком ф</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нансових, а також поставок з Росіїї. Особливост</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стану розвитку галуз</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машинобудування, в як</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й д</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є п</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дприємство, характеризуються тривалим загальним спадом виробництва, в</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дсутн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стю (або обмеженн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стю) зовн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шнього </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нвестування </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як насл</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док, стар</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нням основних виробничих потужностей. Проте, час від часу в галузі спостер</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галося деяке пожвавлення господарської д</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яльност</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що сприяло впровадженню на підприємстві нової техн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ки </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технолог</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ї, освоєнню виробництва нових товар</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в як традиц</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йного, так </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конверс</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йного проф</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лю. На жаль, ці позитивні тенденції постійно гальмуються через світові та вітчизняні фінансово-економічні кризи, а зараз практично заблоковані через відомі події на Сході країни. В галузі виробництва ав</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ац</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йної та </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ншої техн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ки спец</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ального призначення у п</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дприємства практично не має конкурент</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в в Україн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Тривалий час вироби ц</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єї номенклатури в незначн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й к</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лькост</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виготовляли лише досл</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п</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дприємства орган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зац</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й-проектувальник</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в цих вироб</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в в Рос</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ї, які не в стан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були повн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стю задовольняти попит на цю продукц</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ю. Але останнім часом через заборонні заходи України щодо постачання в Росію продукції подвійного призначення Росія форсовано здійснює імпортозаміщення, і підприємство змушене згорнути постачання авіаційної техніки споживачам у РФ. В галуз</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виробництва г</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дроемульс</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йної апаратури Товариство має вітчизняних конкурентів, зокрема: ВАТ "Дружковський машинобудівний завод" у Донецькій области (нині на непідконтрольній території), ТОВ "Першотравенський ремонтно-механічний завод" Дніпропетровської області. У виробництві електроприводу конкурентом підприємства є ПАТ "Завод "Електродвигун", м. Покровськ (Україна).</w:t>
            </w:r>
          </w:p>
        </w:tc>
      </w:tr>
      <w:tr w:rsidR="003D63E0" w:rsidRPr="00995F23" w:rsidTr="00946C74">
        <w:trPr>
          <w:trHeight w:val="315"/>
        </w:trPr>
        <w:tc>
          <w:tcPr>
            <w:tcW w:w="900" w:type="dxa"/>
            <w:tcBorders>
              <w:top w:val="nil"/>
              <w:left w:val="nil"/>
              <w:bottom w:val="nil"/>
              <w:right w:val="nil"/>
            </w:tcBorders>
            <w:tcMar>
              <w:top w:w="75" w:type="dxa"/>
              <w:left w:w="150" w:type="dxa"/>
              <w:bottom w:w="75" w:type="dxa"/>
              <w:right w:w="150" w:type="dxa"/>
            </w:tcMar>
            <w:vAlign w:val="center"/>
            <w:hideMark/>
          </w:tcPr>
          <w:p w:rsidR="003D63E0" w:rsidRPr="00995F23" w:rsidRDefault="003D63E0" w:rsidP="003D63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180" w:lineRule="atLeast"/>
              <w:jc w:val="both"/>
              <w:rPr>
                <w:rFonts w:ascii="Times New Roman" w:eastAsia="Times New Roman" w:hAnsi="Times New Roman" w:cs="Times New Roman"/>
                <w:color w:val="0065A3"/>
                <w:sz w:val="17"/>
                <w:szCs w:val="17"/>
                <w:lang w:val="uk-UA" w:eastAsia="ru-RU"/>
              </w:rPr>
            </w:pPr>
            <w:r w:rsidRPr="00995F23">
              <w:rPr>
                <w:rFonts w:ascii="Times New Roman" w:eastAsia="Times New Roman" w:hAnsi="Times New Roman" w:cs="Times New Roman"/>
                <w:color w:val="0065A3"/>
                <w:sz w:val="17"/>
                <w:szCs w:val="17"/>
                <w:lang w:val="uk-UA" w:eastAsia="ru-RU"/>
              </w:rPr>
              <w:lastRenderedPageBreak/>
              <w:t>За останні 5 років підприємство активно проводе роботу по оновленню та модернізації основних засобів, так: 2013р. 2014р. 2015р. 2016р. 2017р. Усього (грн.) придбано: - 23 913 000,00 - 42 129 000,00 - 41 492 000,00 - 146 857 000,00 - 56 955 000,00 - 300 346 000,00 ліквідовано: - 17 531 000,00 -101 104 000,00 - 16 946 000,00 - 229 150 000,00 - 24 573 000,00 - 389 304 000,00 продано: - 1 024 000,00 - 154 000,00 - 10 150 000,00 - 13 599 000,00 - 2 302,00 - 24 929 302,00 Вибуття основних засобів відбулось за рахунок продажу та списання основних засобів, які дійшли морального та фізичного зносу. За рахунок надходження нового обладнання вартість робочих машин й устаткування збільшилася на 12156 тис.грн. У 2017 році придбанно новє обладнання на 12156 тис. грн., це робочі машини та устаткування : -верстат токарно-гвинторізний мод.1М63 -105 416,67 грн.; -вертикально-оброблювальний центр АХА VSC-1-1840-M/C -271 241,14 грн.; -вертикально-оброблювальний центр АХА VSC-1-1840-M/C - 61 194,34 грн.; -вертикально-фрезерний верстат Mazak VTC-10 -79 339,74 грн.; -оброблювальний центр Compakt FC-400P/1 -316 713,33 грн.; -вертикальний оброблювальний центр АХА VSC -359 880,98 грн.; -вертикальний прес - 40 761,77 грн.; -горизонтально-шліфувальний верстат - 65 684,78 грн.; -плоско-шліфувальний верстат ЗБ722 -57 580,46 грн.; -різьбонарізний маніпулятор Roscomat Mosgu</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to MO 0002201 - 89 825,00 грн. Підприємство планує і подальше проводити роботу по оновленню технічного парку, що дасть можливість збільшити продуктивність праці та зменшити собівартість продукції.</w:t>
            </w:r>
          </w:p>
        </w:tc>
      </w:tr>
      <w:tr w:rsidR="003D63E0" w:rsidRPr="00995F23" w:rsidTr="00946C74">
        <w:trPr>
          <w:trHeight w:val="315"/>
        </w:trPr>
        <w:tc>
          <w:tcPr>
            <w:tcW w:w="900" w:type="dxa"/>
            <w:tcBorders>
              <w:top w:val="nil"/>
              <w:left w:val="nil"/>
              <w:bottom w:val="nil"/>
              <w:right w:val="nil"/>
            </w:tcBorders>
            <w:tcMar>
              <w:top w:w="75" w:type="dxa"/>
              <w:left w:w="150" w:type="dxa"/>
              <w:bottom w:w="75" w:type="dxa"/>
              <w:right w:w="150" w:type="dxa"/>
            </w:tcMar>
            <w:vAlign w:val="center"/>
            <w:hideMark/>
          </w:tcPr>
          <w:p w:rsidR="003D63E0" w:rsidRPr="00995F23" w:rsidRDefault="003D63E0" w:rsidP="003D63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180" w:lineRule="atLeast"/>
              <w:jc w:val="both"/>
              <w:rPr>
                <w:rFonts w:ascii="Times New Roman" w:eastAsia="Times New Roman" w:hAnsi="Times New Roman" w:cs="Times New Roman"/>
                <w:color w:val="0065A3"/>
                <w:sz w:val="17"/>
                <w:szCs w:val="17"/>
                <w:lang w:val="uk-UA" w:eastAsia="ru-RU"/>
              </w:rPr>
            </w:pPr>
            <w:r w:rsidRPr="00995F23">
              <w:rPr>
                <w:rFonts w:ascii="Times New Roman" w:eastAsia="Times New Roman" w:hAnsi="Times New Roman" w:cs="Times New Roman"/>
                <w:color w:val="0065A3"/>
                <w:sz w:val="17"/>
                <w:szCs w:val="17"/>
                <w:lang w:val="uk-UA" w:eastAsia="ru-RU"/>
              </w:rPr>
              <w:t>У звітному році товариство не укладало таких правочинів.</w:t>
            </w:r>
          </w:p>
        </w:tc>
      </w:tr>
      <w:tr w:rsidR="003D63E0" w:rsidRPr="00995F23" w:rsidTr="00946C74">
        <w:trPr>
          <w:trHeight w:val="315"/>
        </w:trPr>
        <w:tc>
          <w:tcPr>
            <w:tcW w:w="900" w:type="dxa"/>
            <w:tcBorders>
              <w:top w:val="nil"/>
              <w:left w:val="nil"/>
              <w:bottom w:val="nil"/>
              <w:right w:val="nil"/>
            </w:tcBorders>
            <w:tcMar>
              <w:top w:w="75" w:type="dxa"/>
              <w:left w:w="150" w:type="dxa"/>
              <w:bottom w:w="75" w:type="dxa"/>
              <w:right w:w="150" w:type="dxa"/>
            </w:tcMar>
            <w:vAlign w:val="center"/>
            <w:hideMark/>
          </w:tcPr>
          <w:p w:rsidR="003D63E0" w:rsidRPr="00995F23" w:rsidRDefault="003D63E0" w:rsidP="003D63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180" w:lineRule="atLeast"/>
              <w:jc w:val="both"/>
              <w:rPr>
                <w:rFonts w:ascii="Times New Roman" w:eastAsia="Times New Roman" w:hAnsi="Times New Roman" w:cs="Times New Roman"/>
                <w:color w:val="0065A3"/>
                <w:sz w:val="17"/>
                <w:szCs w:val="17"/>
                <w:lang w:val="uk-UA" w:eastAsia="ru-RU"/>
              </w:rPr>
            </w:pPr>
            <w:r w:rsidRPr="00995F23">
              <w:rPr>
                <w:rFonts w:ascii="Times New Roman" w:eastAsia="Times New Roman" w:hAnsi="Times New Roman" w:cs="Times New Roman"/>
                <w:color w:val="0065A3"/>
                <w:sz w:val="17"/>
                <w:szCs w:val="17"/>
                <w:lang w:val="uk-UA" w:eastAsia="ru-RU"/>
              </w:rPr>
              <w:t>Основними засобами визнавати матеріальні активи, що утримуються підприємством для використання у виробництві або постачанні товарів чи наданні послуг для надання в оренду або для адміністративних цілей і будуть використовуватись, як очікується, протягом більше одного періоду. У 2017 роц</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основн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засоби були придбан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за кошти, а також створен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на п</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дприємств</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Вибуття основних засоб</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в в</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дбулося внасл</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док л</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кв</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дац</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ї в зв'язку з тим, що вони перестали в</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дпов</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дати критер</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ям визнання їх активом, а також внасл</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док продажу. Станом на 31.12.16 р. перв</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сна варт</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сть основних засоб</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в п</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дприємства складала 954253 тис.грн., залишкова – 119717 тис.грн. Станом на 31.12.17 р. перв</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сна варт</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сть основних засоб</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в п</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дприємства склала 987058 тис.грн., залишкова – 131319 тис.грн. Протягом 2017 року до складу основних засобів зараховано 56955 тис.грн. Робочі машини й устаткування є найбільш активною частиною основних виробничих фондів, що визначає розмір і технічний рівень виробництва. За рахунок надходження нового обладнання вартість робочих машин й устаткування збільшилася на 12156 тис. грн., а їхня частка в загальній вартості основних фондів склала 79,09 %. В 2017 році вибуло основних засобів - 24573 тис.грн. за первісною вартістю, ліквідовано 1496 тис.грн. Фактично нарахований знос основних засобів на 31.12.17р. складає –855739 тис.грн. Основні засоби перебувають у постійному користуванні. Ступінь зносу становить: основних засобів – 86 %; нематеріальних активів – 97,76%. Первісна вартість повністю зношених основних засобів становить 13799 тис.грн. За 2017 р</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к амортизац</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я основних засоб</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в 24616 тис.грн. Інформація про біологічні активи емітента Біологічний актив - тварина або рослина, яка в процесі біологічних перетворень здатна давати сільськогосподарську продукцію та/або додаткові біологічні активи, а також приносити в інший спосіб економічні вигоди. Біологічні активи відображаються на дату проміжного і річного балансу за справедливою вартістю, зменшеною на очікувані витрати на місці продажу. Довгострокові біологічні активи, справедливу вартість яких на дату балансу достовірно визначити неможливо, визнаються та відображаються за первісною вартістю з урахуванням суми їх зносу і втрат від зменшення корисності. Поточні біологічні активи, справедливу вартість яких на дату </w:t>
            </w:r>
            <w:r w:rsidRPr="00995F23">
              <w:rPr>
                <w:rFonts w:ascii="Times New Roman" w:eastAsia="Times New Roman" w:hAnsi="Times New Roman" w:cs="Times New Roman"/>
                <w:color w:val="0065A3"/>
                <w:sz w:val="17"/>
                <w:szCs w:val="17"/>
                <w:lang w:val="uk-UA" w:eastAsia="ru-RU"/>
              </w:rPr>
              <w:lastRenderedPageBreak/>
              <w:t>балансу достовірно визначити неможливо, визнаються та відображаються за первісною вартістю. Нижче наведена структура біологічних активів п</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дприємства за 2017 р</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к. на 31/12/2016 тис.грн. на 31/12/2017 тис.грн. довгострокові: залишкова вартість 1,0 0,0 первісна вартість 35,0 35,0 накопичена амортизація 34,0 35,0 поточні: 20,0 20,0 Інформація про нематеріальні активи емітента. Бухгалтерський облік нематеріальних активів ведеться згідно стандартів бухгалтерського обліку. Нематеріальні активи восновному складаються з програмного забезпечення ПОЕМ. Рух нематеріальних активів, тис.грн. Нематеріальні активи на 31/12/2016 р. тис.грн. на 31/12/2017 р. тис.грн. залишкова вартість 6,0 4,0 первісна вартість 178,0 178,0 накопичена амортизація 172,0 174,0 Підприємство не має нематеріальних активів, по яких існує обмеження прав власності і які оформлені в заставу. Нематеріальні активи – 178 тис.грн. – це програмне забезпечення. Знос нематеріальних активів – 174 тис.грн. Амортизація по нематеріальних активах нараховується прямолінійним методом. По кожному нематеріальному активу визначається термін корисного використання.</w:t>
            </w:r>
          </w:p>
        </w:tc>
      </w:tr>
      <w:tr w:rsidR="003D63E0" w:rsidRPr="00995F23" w:rsidTr="00946C74">
        <w:trPr>
          <w:trHeight w:val="315"/>
        </w:trPr>
        <w:tc>
          <w:tcPr>
            <w:tcW w:w="900" w:type="dxa"/>
            <w:tcBorders>
              <w:top w:val="nil"/>
              <w:left w:val="nil"/>
              <w:bottom w:val="nil"/>
              <w:right w:val="nil"/>
            </w:tcBorders>
            <w:tcMar>
              <w:top w:w="75" w:type="dxa"/>
              <w:left w:w="150" w:type="dxa"/>
              <w:bottom w:w="75" w:type="dxa"/>
              <w:right w:w="150" w:type="dxa"/>
            </w:tcMar>
            <w:vAlign w:val="center"/>
            <w:hideMark/>
          </w:tcPr>
          <w:p w:rsidR="003D63E0" w:rsidRPr="00995F23" w:rsidRDefault="003D63E0" w:rsidP="003D63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180" w:lineRule="atLeast"/>
              <w:jc w:val="both"/>
              <w:rPr>
                <w:rFonts w:ascii="Times New Roman" w:eastAsia="Times New Roman" w:hAnsi="Times New Roman" w:cs="Times New Roman"/>
                <w:color w:val="0065A3"/>
                <w:sz w:val="17"/>
                <w:szCs w:val="17"/>
                <w:lang w:val="uk-UA" w:eastAsia="ru-RU"/>
              </w:rPr>
            </w:pPr>
            <w:r w:rsidRPr="00995F23">
              <w:rPr>
                <w:rFonts w:ascii="Times New Roman" w:eastAsia="Times New Roman" w:hAnsi="Times New Roman" w:cs="Times New Roman"/>
                <w:color w:val="0065A3"/>
                <w:sz w:val="17"/>
                <w:szCs w:val="17"/>
                <w:lang w:val="uk-UA" w:eastAsia="ru-RU"/>
              </w:rPr>
              <w:lastRenderedPageBreak/>
              <w:t>У галузях машинобудування, де д</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є п</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дприємство, п</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двалинами усп</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ху є пост</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йне поновлення продукц</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ї, гнучка диверс</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ф</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кац</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я виробничо-господарської д</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яльност</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своєчасне </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грунтовне техн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чне переозброєння, впровадження нових матер</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ал</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в </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технолог</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й, структурн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перетворення та </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нш</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под</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бн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заходи, що є нев</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д'ємними частинами сучасної господарської пол</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тики. Опрацювання та зд</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йснення такої пол</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тики потребує значних кап</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таловкладень та </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нших ф</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нансових витрат, </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саме в цьому полягає суть проблем п</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дприємства в умовах, що склалися в сучасн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й в</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тчизнян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й економ</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ц</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Щодо фактор</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в, як</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можна окреслити як "пол</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тичн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то вимушений р</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зкий спад виробництва наприкінці минулого століття практично позбавив п</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дприємство можливостей самоф</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нансування господарських потреб. Конверс</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я ж натом</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сть жадала п</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дсиленого ф</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нансування. А нині ці чинники знов набувають особливої ваги через втрату російських ринків. Попри всі негативні явища у світовій та вітчизняній економіці, підприємству за останні 5-10 років вдалося суттєво поновити станочний парк високопродуктивного і точного обладнання, підвищити завдяки цьому продуктивність праці та якість продукції. Однак сьогоденні політичні та економічні, м’яко кажучі, негаразди суттєво перешкоджають подальшому виробничо-технічному розвитку підприємства. Заборгованн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сть з зароб</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тної плати персоналу на п</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дприємств</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фактично л</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кв</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дована. П</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дприємство з напруженням забезпечує утримання </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поновлення захисних устроїв </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споруд, що черевато майбутніми загрозами навколишньому середовищу.</w:t>
            </w:r>
          </w:p>
        </w:tc>
      </w:tr>
      <w:tr w:rsidR="003D63E0" w:rsidRPr="00995F23" w:rsidTr="00946C74">
        <w:trPr>
          <w:trHeight w:val="315"/>
        </w:trPr>
        <w:tc>
          <w:tcPr>
            <w:tcW w:w="900" w:type="dxa"/>
            <w:tcBorders>
              <w:top w:val="nil"/>
              <w:left w:val="nil"/>
              <w:bottom w:val="nil"/>
              <w:right w:val="nil"/>
            </w:tcBorders>
            <w:tcMar>
              <w:top w:w="75" w:type="dxa"/>
              <w:left w:w="150" w:type="dxa"/>
              <w:bottom w:w="75" w:type="dxa"/>
              <w:right w:w="150" w:type="dxa"/>
            </w:tcMar>
            <w:vAlign w:val="center"/>
            <w:hideMark/>
          </w:tcPr>
          <w:p w:rsidR="003D63E0" w:rsidRPr="00995F23" w:rsidRDefault="003D63E0" w:rsidP="003D63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180" w:lineRule="atLeast"/>
              <w:jc w:val="both"/>
              <w:rPr>
                <w:rFonts w:ascii="Times New Roman" w:eastAsia="Times New Roman" w:hAnsi="Times New Roman" w:cs="Times New Roman"/>
                <w:color w:val="0065A3"/>
                <w:sz w:val="17"/>
                <w:szCs w:val="17"/>
                <w:lang w:val="uk-UA" w:eastAsia="ru-RU"/>
              </w:rPr>
            </w:pPr>
            <w:r w:rsidRPr="00995F23">
              <w:rPr>
                <w:rFonts w:ascii="Times New Roman" w:eastAsia="Times New Roman" w:hAnsi="Times New Roman" w:cs="Times New Roman"/>
                <w:color w:val="0065A3"/>
                <w:sz w:val="17"/>
                <w:szCs w:val="17"/>
                <w:lang w:val="uk-UA" w:eastAsia="ru-RU"/>
              </w:rPr>
              <w:t>У 2017 роц</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АТ "ДАЗ" за порушення чинного законодавства були нарахован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штрафи та пеня на суму 337 тис.грн. (в т.ч. пені за порушення ЗЕД, штрафи: з ПДВ, з податку на прибуток, за нанесення шкоди навколишньому середовищу).</w:t>
            </w:r>
          </w:p>
        </w:tc>
      </w:tr>
      <w:tr w:rsidR="003D63E0" w:rsidRPr="00995F23" w:rsidTr="00946C74">
        <w:trPr>
          <w:trHeight w:val="315"/>
        </w:trPr>
        <w:tc>
          <w:tcPr>
            <w:tcW w:w="900" w:type="dxa"/>
            <w:tcBorders>
              <w:top w:val="nil"/>
              <w:left w:val="nil"/>
              <w:bottom w:val="nil"/>
              <w:right w:val="nil"/>
            </w:tcBorders>
            <w:tcMar>
              <w:top w:w="75" w:type="dxa"/>
              <w:left w:w="150" w:type="dxa"/>
              <w:bottom w:w="75" w:type="dxa"/>
              <w:right w:w="150" w:type="dxa"/>
            </w:tcMar>
            <w:vAlign w:val="center"/>
            <w:hideMark/>
          </w:tcPr>
          <w:p w:rsidR="003D63E0" w:rsidRPr="00995F23" w:rsidRDefault="003D63E0" w:rsidP="003D63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180" w:lineRule="atLeast"/>
              <w:jc w:val="both"/>
              <w:rPr>
                <w:rFonts w:ascii="Times New Roman" w:eastAsia="Times New Roman" w:hAnsi="Times New Roman" w:cs="Times New Roman"/>
                <w:color w:val="0065A3"/>
                <w:sz w:val="17"/>
                <w:szCs w:val="17"/>
                <w:lang w:val="uk-UA" w:eastAsia="ru-RU"/>
              </w:rPr>
            </w:pPr>
            <w:r w:rsidRPr="00995F23">
              <w:rPr>
                <w:rFonts w:ascii="Times New Roman" w:eastAsia="Times New Roman" w:hAnsi="Times New Roman" w:cs="Times New Roman"/>
                <w:color w:val="0065A3"/>
                <w:sz w:val="17"/>
                <w:szCs w:val="17"/>
                <w:lang w:val="uk-UA" w:eastAsia="ru-RU"/>
              </w:rPr>
              <w:t>З огляду на негативн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фактори, що </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стотно впливають на д</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яльн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сть п</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дприємства </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на цей час є об'єктивно притаманними в</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тчизнян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й економ</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ц</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класичн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ринков</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схеми зб</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льшення власного </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залучення позикового кап</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талу (ем</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с</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йн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кредитн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поки що ефективно не д</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ють. Принципова господарська стратег</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я п</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дприємства полягає в створенн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науково-техн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чних, виробничих, комерц</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йних передумов для залучення доброяк</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сних </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нвестиц</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й у виробництво конкурентно-спроможної продукц</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ї, всеб</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чне п</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двищення </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нвестиц</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йної привабливост</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п</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дприємства шляхом збереження </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розвитку його виробничого потенц</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алу, ринкових позиц</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й в Україн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країнах СНД, Євросоюзу, Ближнього та Далекого Сходу. Але, зважаючи на велику кап</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талом</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стк</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сть засвоєння нової продукц</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ї, техн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чного переозброєння, тощо, </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ф</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нансування в</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дпов</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дних витрат переважно за рахунок зростання кредиторської заборгованност</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структура кап</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талу товариства здеформована в б</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к переваги залученого кап</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талу над власним. Показники ф</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нансового стану п</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дприємства (наведен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в аудиторському заключенн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що додається) св</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дчать про його хитлив</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сть. Будь-як</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радикальн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зм</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ни </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снуючого стану видаються практично незд</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йсненними без </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стотних зм</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н умов господарювання, що мають в</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дбутися на загальнодержавному р</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вн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w:t>
            </w:r>
          </w:p>
        </w:tc>
      </w:tr>
      <w:tr w:rsidR="003D63E0" w:rsidRPr="00995F23" w:rsidTr="00946C74">
        <w:trPr>
          <w:trHeight w:val="315"/>
        </w:trPr>
        <w:tc>
          <w:tcPr>
            <w:tcW w:w="900" w:type="dxa"/>
            <w:tcBorders>
              <w:top w:val="nil"/>
              <w:left w:val="nil"/>
              <w:bottom w:val="nil"/>
              <w:right w:val="nil"/>
            </w:tcBorders>
            <w:tcMar>
              <w:top w:w="75" w:type="dxa"/>
              <w:left w:w="150" w:type="dxa"/>
              <w:bottom w:w="75" w:type="dxa"/>
              <w:right w:w="150" w:type="dxa"/>
            </w:tcMar>
            <w:vAlign w:val="center"/>
            <w:hideMark/>
          </w:tcPr>
          <w:p w:rsidR="003D63E0" w:rsidRPr="00995F23" w:rsidRDefault="003D63E0" w:rsidP="003D63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180" w:lineRule="atLeast"/>
              <w:jc w:val="both"/>
              <w:rPr>
                <w:rFonts w:ascii="Times New Roman" w:eastAsia="Times New Roman" w:hAnsi="Times New Roman" w:cs="Times New Roman"/>
                <w:color w:val="0065A3"/>
                <w:sz w:val="17"/>
                <w:szCs w:val="17"/>
                <w:lang w:val="uk-UA" w:eastAsia="ru-RU"/>
              </w:rPr>
            </w:pPr>
            <w:r w:rsidRPr="00995F23">
              <w:rPr>
                <w:rFonts w:ascii="Times New Roman" w:eastAsia="Times New Roman" w:hAnsi="Times New Roman" w:cs="Times New Roman"/>
                <w:color w:val="0065A3"/>
                <w:sz w:val="17"/>
                <w:szCs w:val="17"/>
                <w:lang w:val="uk-UA" w:eastAsia="ru-RU"/>
              </w:rPr>
              <w:t>На к</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нець 2017 року п</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дприємство пос</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дало портфель замовлень у вигляд</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укладених, але ще не виконаних (повн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стю або частково) договор</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в на поставку продукц</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ї варт</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стю близько 599994 тис.грн., очікуваний дох</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 в</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 цих договор</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в - 458000 тис.грн. Сл</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 зауважити, що портфель замовлень п</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дприємства пост</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йно поновлюється </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повн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стю забезпечує зр</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ст обсяг</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в виробництва, що планується, а стримується лише обмеженими можливостями ф</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нансування.</w:t>
            </w:r>
          </w:p>
        </w:tc>
      </w:tr>
      <w:tr w:rsidR="003D63E0" w:rsidRPr="00995F23" w:rsidTr="00946C74">
        <w:trPr>
          <w:trHeight w:val="315"/>
        </w:trPr>
        <w:tc>
          <w:tcPr>
            <w:tcW w:w="900" w:type="dxa"/>
            <w:tcBorders>
              <w:top w:val="nil"/>
              <w:left w:val="nil"/>
              <w:bottom w:val="nil"/>
              <w:right w:val="nil"/>
            </w:tcBorders>
            <w:tcMar>
              <w:top w:w="75" w:type="dxa"/>
              <w:left w:w="150" w:type="dxa"/>
              <w:bottom w:w="75" w:type="dxa"/>
              <w:right w:w="150" w:type="dxa"/>
            </w:tcMar>
            <w:vAlign w:val="center"/>
            <w:hideMark/>
          </w:tcPr>
          <w:p w:rsidR="003D63E0" w:rsidRPr="00995F23" w:rsidRDefault="003D63E0" w:rsidP="003D63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180" w:lineRule="atLeast"/>
              <w:jc w:val="both"/>
              <w:rPr>
                <w:rFonts w:ascii="Times New Roman" w:eastAsia="Times New Roman" w:hAnsi="Times New Roman" w:cs="Times New Roman"/>
                <w:color w:val="0065A3"/>
                <w:sz w:val="17"/>
                <w:szCs w:val="17"/>
                <w:lang w:val="uk-UA" w:eastAsia="ru-RU"/>
              </w:rPr>
            </w:pPr>
            <w:r w:rsidRPr="00995F23">
              <w:rPr>
                <w:rFonts w:ascii="Times New Roman" w:eastAsia="Times New Roman" w:hAnsi="Times New Roman" w:cs="Times New Roman"/>
                <w:color w:val="0065A3"/>
                <w:sz w:val="17"/>
                <w:szCs w:val="17"/>
                <w:lang w:val="uk-UA" w:eastAsia="ru-RU"/>
              </w:rPr>
              <w:t>Прогнози та плани, по сут</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вже розглянут</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в попередн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х розд</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лах опису б</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знесу. На жаль, в </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снуючих умовах господарювання, до того ще й вкрай загострених кризою, неможливо робити достатньо впевнен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прогнози й детальн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плани. Проте, виходячи з принципу обережного оптим</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зму, на п</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дприємств</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передбачається подальше зростання обсяг</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в виробництва. Підвищена увага буде надаватися засвоєнню нових ринків збуту замість втрачених у РФ. Не зважаючи на досить обмежені можливості фінансування, керівництво товариства має намір завершити вже розпочаті заходи технічного й технологічного переозброєння виробництва </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можливо, отримати задов</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льн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нвестиц</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йн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пропозиц</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ї. В залежност</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в</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 зовн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шн</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х обставин, цей процес може бути або прискорений, або пригальмований, але альтернативи обраному товариством курсу нема.</w:t>
            </w:r>
          </w:p>
        </w:tc>
      </w:tr>
      <w:tr w:rsidR="003D63E0" w:rsidRPr="00995F23" w:rsidTr="00946C74">
        <w:trPr>
          <w:trHeight w:val="315"/>
        </w:trPr>
        <w:tc>
          <w:tcPr>
            <w:tcW w:w="900" w:type="dxa"/>
            <w:tcBorders>
              <w:top w:val="nil"/>
              <w:left w:val="nil"/>
              <w:bottom w:val="nil"/>
              <w:right w:val="nil"/>
            </w:tcBorders>
            <w:tcMar>
              <w:top w:w="75" w:type="dxa"/>
              <w:left w:w="150" w:type="dxa"/>
              <w:bottom w:w="75" w:type="dxa"/>
              <w:right w:w="150" w:type="dxa"/>
            </w:tcMar>
            <w:vAlign w:val="center"/>
            <w:hideMark/>
          </w:tcPr>
          <w:p w:rsidR="003D63E0" w:rsidRPr="00995F23" w:rsidRDefault="003D63E0" w:rsidP="003D63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180" w:lineRule="atLeast"/>
              <w:jc w:val="both"/>
              <w:rPr>
                <w:rFonts w:ascii="Times New Roman" w:eastAsia="Times New Roman" w:hAnsi="Times New Roman" w:cs="Times New Roman"/>
                <w:color w:val="0065A3"/>
                <w:sz w:val="17"/>
                <w:szCs w:val="17"/>
                <w:lang w:val="uk-UA" w:eastAsia="ru-RU"/>
              </w:rPr>
            </w:pPr>
            <w:r w:rsidRPr="00995F23">
              <w:rPr>
                <w:rFonts w:ascii="Times New Roman" w:eastAsia="Times New Roman" w:hAnsi="Times New Roman" w:cs="Times New Roman"/>
                <w:color w:val="0065A3"/>
                <w:sz w:val="17"/>
                <w:szCs w:val="17"/>
                <w:lang w:val="uk-UA" w:eastAsia="ru-RU"/>
              </w:rPr>
              <w:t xml:space="preserve">Політика товариства щодо досліджень та розробок спрямована, перед усім, на забезпечення високої конкурентоспроможності продукції, максимальне задоволення відомих та очікуваних вимог та побажань споживачів. З цією метою послідовно проводяться маркетингові дослідження, здійснюються презентаційні заходи за участю споживачів, проводяться кваліфікаційні та дослідницькі випробування продукції, досліджуються її експлуатаційні властивості, стан та можливості вдосконалення технології виробництва, тощо. На підставі проведених досліджень плануються та здійснюються конкретні заходи з вдосконалення чинних та впровадження нових технологій у виробництві, розробки та постановки на виробництво (засвоєння) нових та модернізованих видів продукції. Порядок проведення усієї цієї роботи регламентовано комплексом стандартів підприємства чинної системи менеджменту якості (управління якістю). Роботи проводяться відповідно до річного комплексного плану організаційно-технічних заходів. Для проведення дослідницьких та проектних робіт підприємство використовує, перед усім, власні підрозділи та служби: маркетингу та реклами, експлуатаційної надійності, серійно-випробувальну станцію, лабораторію науково-дослідних та дослідно-конструкторських робіт, інженерний центр, обладнаний сучасною комп'ютерною технікою, технологічні підрозділи, тощо. За необхідності, до виконання робіт на договірній основі залучаються відповідні науково-дослідні, проектні організації, вузи. Так, здійснюється постійна плідна співпраця з провідними розробниками гірнично-шахтного обладнання, а також ефективно використовується </w:t>
            </w:r>
            <w:bookmarkStart w:id="0" w:name="_GoBack"/>
            <w:bookmarkEnd w:id="0"/>
            <w:r w:rsidRPr="00995F23">
              <w:rPr>
                <w:rFonts w:ascii="Times New Roman" w:eastAsia="Times New Roman" w:hAnsi="Times New Roman" w:cs="Times New Roman"/>
                <w:color w:val="0065A3"/>
                <w:sz w:val="17"/>
                <w:szCs w:val="17"/>
                <w:lang w:val="uk-UA" w:eastAsia="ru-RU"/>
              </w:rPr>
              <w:t xml:space="preserve">науково-технічний потенціал Дніпровських, і не тільки, вузів (зокрема - Національної металургійної </w:t>
            </w:r>
            <w:r w:rsidRPr="00995F23">
              <w:rPr>
                <w:rFonts w:ascii="Times New Roman" w:eastAsia="Times New Roman" w:hAnsi="Times New Roman" w:cs="Times New Roman"/>
                <w:color w:val="0065A3"/>
                <w:sz w:val="17"/>
                <w:szCs w:val="17"/>
                <w:lang w:val="uk-UA" w:eastAsia="ru-RU"/>
              </w:rPr>
              <w:lastRenderedPageBreak/>
              <w:t>академії України).</w:t>
            </w:r>
          </w:p>
        </w:tc>
      </w:tr>
      <w:tr w:rsidR="003D63E0" w:rsidRPr="00995F23" w:rsidTr="00946C74">
        <w:trPr>
          <w:trHeight w:val="315"/>
        </w:trPr>
        <w:tc>
          <w:tcPr>
            <w:tcW w:w="900" w:type="dxa"/>
            <w:tcBorders>
              <w:top w:val="nil"/>
              <w:left w:val="single" w:sz="6" w:space="0" w:color="C5C5C5"/>
            </w:tcBorders>
            <w:tcMar>
              <w:top w:w="75" w:type="dxa"/>
              <w:left w:w="150" w:type="dxa"/>
              <w:bottom w:w="75" w:type="dxa"/>
              <w:right w:w="150" w:type="dxa"/>
            </w:tcMar>
            <w:vAlign w:val="center"/>
            <w:hideMark/>
          </w:tcPr>
          <w:p w:rsidR="003D63E0" w:rsidRPr="00995F23" w:rsidRDefault="003D63E0" w:rsidP="003D63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180" w:lineRule="atLeast"/>
              <w:jc w:val="both"/>
              <w:rPr>
                <w:rFonts w:ascii="Times New Roman" w:eastAsia="Times New Roman" w:hAnsi="Times New Roman" w:cs="Times New Roman"/>
                <w:color w:val="0065A3"/>
                <w:sz w:val="17"/>
                <w:szCs w:val="17"/>
                <w:lang w:val="uk-UA" w:eastAsia="ru-RU"/>
              </w:rPr>
            </w:pPr>
            <w:r w:rsidRPr="00995F23">
              <w:rPr>
                <w:rFonts w:ascii="Times New Roman" w:eastAsia="Times New Roman" w:hAnsi="Times New Roman" w:cs="Times New Roman"/>
                <w:color w:val="0065A3"/>
                <w:sz w:val="17"/>
                <w:szCs w:val="17"/>
                <w:lang w:val="uk-UA" w:eastAsia="ru-RU"/>
              </w:rPr>
              <w:lastRenderedPageBreak/>
              <w:t>З огляду на відсутність таких судових справ, інформація, що вимагається цим пунктом, не надається.</w:t>
            </w:r>
          </w:p>
        </w:tc>
      </w:tr>
      <w:tr w:rsidR="003D63E0" w:rsidRPr="00995F23" w:rsidTr="003D63E0">
        <w:trPr>
          <w:trHeight w:val="315"/>
        </w:trPr>
        <w:tc>
          <w:tcPr>
            <w:tcW w:w="900" w:type="dxa"/>
            <w:tcBorders>
              <w:left w:val="single" w:sz="6" w:space="0" w:color="C5C5C5"/>
            </w:tcBorders>
            <w:tcMar>
              <w:top w:w="75" w:type="dxa"/>
              <w:left w:w="150" w:type="dxa"/>
              <w:bottom w:w="75" w:type="dxa"/>
              <w:right w:w="150" w:type="dxa"/>
            </w:tcMar>
            <w:vAlign w:val="center"/>
            <w:hideMark/>
          </w:tcPr>
          <w:p w:rsidR="003D63E0" w:rsidRPr="00995F23" w:rsidRDefault="003D63E0" w:rsidP="003D63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180" w:lineRule="atLeast"/>
              <w:jc w:val="both"/>
              <w:rPr>
                <w:rFonts w:ascii="Times New Roman" w:eastAsia="Times New Roman" w:hAnsi="Times New Roman" w:cs="Times New Roman"/>
                <w:color w:val="0065A3"/>
                <w:sz w:val="17"/>
                <w:szCs w:val="17"/>
                <w:lang w:val="uk-UA" w:eastAsia="ru-RU"/>
              </w:rPr>
            </w:pPr>
            <w:r w:rsidRPr="00995F23">
              <w:rPr>
                <w:rFonts w:ascii="Times New Roman" w:eastAsia="Times New Roman" w:hAnsi="Times New Roman" w:cs="Times New Roman"/>
                <w:color w:val="0065A3"/>
                <w:sz w:val="17"/>
                <w:szCs w:val="17"/>
                <w:lang w:val="uk-UA" w:eastAsia="ru-RU"/>
              </w:rPr>
              <w:t>АТ має р</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шення Державної служби </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нтелектуальної власност</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України про реєстрац</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ю знака "Ракета" в</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дносно усього перел</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ку товар</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в </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послуг, як</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 xml:space="preserve"> надає п</w:t>
            </w:r>
            <w:r w:rsidR="00995F23" w:rsidRPr="00995F23">
              <w:rPr>
                <w:rFonts w:ascii="Times New Roman" w:eastAsia="Times New Roman" w:hAnsi="Times New Roman" w:cs="Times New Roman"/>
                <w:color w:val="0065A3"/>
                <w:sz w:val="17"/>
                <w:szCs w:val="17"/>
                <w:lang w:val="uk-UA" w:eastAsia="ru-RU"/>
              </w:rPr>
              <w:t>і</w:t>
            </w:r>
            <w:r w:rsidRPr="00995F23">
              <w:rPr>
                <w:rFonts w:ascii="Times New Roman" w:eastAsia="Times New Roman" w:hAnsi="Times New Roman" w:cs="Times New Roman"/>
                <w:color w:val="0065A3"/>
                <w:sz w:val="17"/>
                <w:szCs w:val="17"/>
                <w:lang w:val="uk-UA" w:eastAsia="ru-RU"/>
              </w:rPr>
              <w:t>дприємство. Срок дії свідоцтва подовжене до 14.11.2023 року.</w:t>
            </w:r>
          </w:p>
        </w:tc>
      </w:tr>
    </w:tbl>
    <w:p w:rsidR="0045743B" w:rsidRPr="00995F23" w:rsidRDefault="0045743B" w:rsidP="003D63E0">
      <w:pPr>
        <w:pBdr>
          <w:top w:val="single" w:sz="4" w:space="1" w:color="auto"/>
          <w:left w:val="single" w:sz="4" w:space="1" w:color="auto"/>
          <w:bottom w:val="single" w:sz="4" w:space="1" w:color="auto"/>
          <w:right w:val="single" w:sz="4" w:space="1" w:color="auto"/>
          <w:between w:val="single" w:sz="4" w:space="1" w:color="auto"/>
          <w:bar w:val="single" w:sz="4" w:color="auto"/>
        </w:pBdr>
        <w:rPr>
          <w:lang w:val="uk-UA"/>
        </w:rPr>
      </w:pPr>
    </w:p>
    <w:sectPr w:rsidR="0045743B" w:rsidRPr="00995F23" w:rsidSect="003D63E0">
      <w:pgSz w:w="16838" w:h="11906" w:orient="landscape"/>
      <w:pgMar w:top="850"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5"/>
  <w:hideSpellingErrors/>
  <w:proofState w:grammar="clean"/>
  <w:defaultTabStop w:val="708"/>
  <w:characterSpacingControl w:val="doNotCompress"/>
  <w:compat/>
  <w:rsids>
    <w:rsidRoot w:val="0045743B"/>
    <w:rsid w:val="003D63E0"/>
    <w:rsid w:val="0045743B"/>
    <w:rsid w:val="00946C74"/>
    <w:rsid w:val="00995F23"/>
    <w:rsid w:val="00F0126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26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7820972">
      <w:bodyDiv w:val="1"/>
      <w:marLeft w:val="0"/>
      <w:marRight w:val="0"/>
      <w:marTop w:val="0"/>
      <w:marBottom w:val="0"/>
      <w:divBdr>
        <w:top w:val="none" w:sz="0" w:space="0" w:color="auto"/>
        <w:left w:val="none" w:sz="0" w:space="0" w:color="auto"/>
        <w:bottom w:val="none" w:sz="0" w:space="0" w:color="auto"/>
        <w:right w:val="none" w:sz="0" w:space="0" w:color="auto"/>
      </w:divBdr>
      <w:divsChild>
        <w:div w:id="1354460037">
          <w:marLeft w:val="0"/>
          <w:marRight w:val="0"/>
          <w:marTop w:val="0"/>
          <w:marBottom w:val="0"/>
          <w:divBdr>
            <w:top w:val="none" w:sz="0" w:space="0" w:color="auto"/>
            <w:left w:val="none" w:sz="0" w:space="0" w:color="auto"/>
            <w:bottom w:val="none" w:sz="0" w:space="0" w:color="auto"/>
            <w:right w:val="none" w:sz="0" w:space="0" w:color="auto"/>
          </w:divBdr>
        </w:div>
        <w:div w:id="822548514">
          <w:marLeft w:val="0"/>
          <w:marRight w:val="0"/>
          <w:marTop w:val="0"/>
          <w:marBottom w:val="0"/>
          <w:divBdr>
            <w:top w:val="none" w:sz="0" w:space="0" w:color="auto"/>
            <w:left w:val="none" w:sz="0" w:space="0" w:color="auto"/>
            <w:bottom w:val="none" w:sz="0" w:space="0" w:color="auto"/>
            <w:right w:val="none" w:sz="0" w:space="0" w:color="auto"/>
          </w:divBdr>
        </w:div>
        <w:div w:id="11782739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6</Pages>
  <Words>5566</Words>
  <Characters>31732</Characters>
  <Application>Microsoft Office Word</Application>
  <DocSecurity>0</DocSecurity>
  <Lines>264</Lines>
  <Paragraphs>74</Paragraphs>
  <ScaleCrop>false</ScaleCrop>
  <Company>SPecialiST RePack</Company>
  <LinksUpToDate>false</LinksUpToDate>
  <CharactersWithSpaces>37224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DKO-MAIN</dc:creator>
  <cp:keywords/>
  <dc:description/>
  <cp:lastModifiedBy>BAT</cp:lastModifiedBy>
  <cp:revision>4</cp:revision>
  <dcterms:created xsi:type="dcterms:W3CDTF">2018-04-23T06:26:00Z</dcterms:created>
  <dcterms:modified xsi:type="dcterms:W3CDTF">2018-04-24T13:18:00Z</dcterms:modified>
</cp:coreProperties>
</file>